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CB" w:rsidRPr="00E12672" w:rsidRDefault="002823CB" w:rsidP="002823CB">
      <w:pPr>
        <w:spacing w:before="240" w:line="360" w:lineRule="auto"/>
        <w:jc w:val="center"/>
        <w:rPr>
          <w:rFonts w:ascii="Times New Roman" w:hAnsi="Times New Roman"/>
          <w:b/>
          <w:sz w:val="24"/>
          <w:szCs w:val="24"/>
        </w:rPr>
      </w:pPr>
      <w:bookmarkStart w:id="0" w:name="_GoBack"/>
      <w:bookmarkEnd w:id="0"/>
      <w:r w:rsidRPr="00E12672">
        <w:rPr>
          <w:rFonts w:ascii="Times New Roman" w:hAnsi="Times New Roman"/>
          <w:b/>
          <w:sz w:val="24"/>
          <w:szCs w:val="24"/>
        </w:rPr>
        <w:t>Before the Controller of Patents, Kolkata</w:t>
      </w:r>
    </w:p>
    <w:p w:rsidR="002823CB" w:rsidRPr="00E12672" w:rsidRDefault="002823CB" w:rsidP="002823CB">
      <w:pPr>
        <w:spacing w:before="240" w:line="360" w:lineRule="auto"/>
        <w:ind w:left="4320"/>
        <w:jc w:val="both"/>
        <w:rPr>
          <w:rFonts w:ascii="Times New Roman" w:hAnsi="Times New Roman"/>
          <w:b/>
          <w:sz w:val="24"/>
          <w:szCs w:val="24"/>
        </w:rPr>
      </w:pPr>
      <w:r w:rsidRPr="00E12672">
        <w:rPr>
          <w:rFonts w:ascii="Times New Roman" w:hAnsi="Times New Roman"/>
          <w:b/>
          <w:sz w:val="24"/>
          <w:szCs w:val="24"/>
        </w:rPr>
        <w:t>In the matter of section 25(2) of the Patents Act, 1970;</w:t>
      </w:r>
    </w:p>
    <w:p w:rsidR="002823CB" w:rsidRPr="00E12672" w:rsidRDefault="002823CB" w:rsidP="002823CB">
      <w:pPr>
        <w:tabs>
          <w:tab w:val="center" w:pos="6660"/>
        </w:tabs>
        <w:spacing w:before="240" w:line="360" w:lineRule="auto"/>
        <w:ind w:left="4320"/>
        <w:jc w:val="both"/>
        <w:rPr>
          <w:rFonts w:ascii="Times New Roman" w:hAnsi="Times New Roman"/>
          <w:b/>
          <w:sz w:val="24"/>
          <w:szCs w:val="24"/>
        </w:rPr>
      </w:pPr>
      <w:r w:rsidRPr="00E12672">
        <w:rPr>
          <w:rFonts w:ascii="Times New Roman" w:hAnsi="Times New Roman"/>
          <w:b/>
          <w:sz w:val="24"/>
          <w:szCs w:val="24"/>
        </w:rPr>
        <w:t>AND</w:t>
      </w:r>
      <w:r w:rsidRPr="00E12672">
        <w:rPr>
          <w:rFonts w:ascii="Times New Roman" w:hAnsi="Times New Roman"/>
          <w:b/>
          <w:sz w:val="24"/>
          <w:szCs w:val="24"/>
        </w:rPr>
        <w:tab/>
      </w:r>
    </w:p>
    <w:p w:rsidR="002823CB" w:rsidRPr="00E12672" w:rsidRDefault="002823CB" w:rsidP="002823CB">
      <w:pPr>
        <w:spacing w:before="240" w:line="360" w:lineRule="auto"/>
        <w:ind w:left="4320"/>
        <w:jc w:val="both"/>
        <w:rPr>
          <w:rFonts w:ascii="Times New Roman" w:hAnsi="Times New Roman"/>
          <w:b/>
          <w:sz w:val="24"/>
          <w:szCs w:val="24"/>
        </w:rPr>
      </w:pPr>
      <w:r w:rsidRPr="00E12672">
        <w:rPr>
          <w:rFonts w:ascii="Times New Roman" w:hAnsi="Times New Roman"/>
          <w:b/>
          <w:sz w:val="24"/>
          <w:szCs w:val="24"/>
        </w:rPr>
        <w:t>In the matter of the Patents Rules, 2003</w:t>
      </w:r>
    </w:p>
    <w:p w:rsidR="002823CB" w:rsidRPr="00E12672" w:rsidRDefault="002823CB" w:rsidP="002823CB">
      <w:pPr>
        <w:spacing w:before="240" w:line="360" w:lineRule="auto"/>
        <w:ind w:left="4320"/>
        <w:jc w:val="both"/>
        <w:rPr>
          <w:rFonts w:ascii="Times New Roman" w:hAnsi="Times New Roman"/>
          <w:b/>
          <w:sz w:val="24"/>
          <w:szCs w:val="24"/>
        </w:rPr>
      </w:pPr>
      <w:r w:rsidRPr="00E12672">
        <w:rPr>
          <w:rFonts w:ascii="Times New Roman" w:hAnsi="Times New Roman"/>
          <w:b/>
          <w:sz w:val="24"/>
          <w:szCs w:val="24"/>
        </w:rPr>
        <w:t>AND</w:t>
      </w:r>
    </w:p>
    <w:p w:rsidR="002823CB" w:rsidRPr="00E12672" w:rsidRDefault="002823CB" w:rsidP="002823CB">
      <w:pPr>
        <w:spacing w:before="240" w:line="360" w:lineRule="auto"/>
        <w:ind w:left="4320"/>
        <w:jc w:val="both"/>
        <w:rPr>
          <w:rFonts w:ascii="Times New Roman" w:hAnsi="Times New Roman"/>
          <w:b/>
          <w:sz w:val="24"/>
          <w:szCs w:val="24"/>
        </w:rPr>
      </w:pPr>
      <w:r w:rsidRPr="00E12672">
        <w:rPr>
          <w:rFonts w:ascii="Times New Roman" w:hAnsi="Times New Roman"/>
          <w:b/>
          <w:sz w:val="24"/>
          <w:szCs w:val="24"/>
        </w:rPr>
        <w:t>In the matter of Patent No. 303371 granted to</w:t>
      </w:r>
      <w:r w:rsidRPr="00E12672">
        <w:rPr>
          <w:rFonts w:ascii="Times New Roman" w:hAnsi="Times New Roman"/>
          <w:b/>
          <w:bCs/>
          <w:sz w:val="24"/>
          <w:szCs w:val="24"/>
        </w:rPr>
        <w:t xml:space="preserve"> VIIV Healthcare Company and grant published on </w:t>
      </w:r>
      <w:r w:rsidRPr="00E12672">
        <w:rPr>
          <w:rFonts w:ascii="Times New Roman" w:hAnsi="Times New Roman"/>
          <w:b/>
          <w:sz w:val="24"/>
          <w:szCs w:val="24"/>
        </w:rPr>
        <w:t>30 November 2018 titled “</w:t>
      </w:r>
      <w:r w:rsidRPr="00E12672">
        <w:rPr>
          <w:rFonts w:ascii="Times New Roman" w:hAnsi="Times New Roman"/>
          <w:b/>
          <w:i/>
          <w:sz w:val="24"/>
          <w:szCs w:val="24"/>
        </w:rPr>
        <w:t>Pharmaceutical Compositions</w:t>
      </w:r>
      <w:r w:rsidRPr="00E12672">
        <w:rPr>
          <w:rFonts w:ascii="Times New Roman" w:hAnsi="Times New Roman"/>
          <w:b/>
          <w:sz w:val="24"/>
          <w:szCs w:val="24"/>
        </w:rPr>
        <w:t>”</w:t>
      </w:r>
    </w:p>
    <w:p w:rsidR="002823CB" w:rsidRPr="00E12672" w:rsidRDefault="002823CB" w:rsidP="002823CB">
      <w:pPr>
        <w:spacing w:before="240" w:line="360" w:lineRule="auto"/>
        <w:ind w:left="4320"/>
        <w:jc w:val="both"/>
        <w:rPr>
          <w:rFonts w:ascii="Times New Roman" w:hAnsi="Times New Roman"/>
          <w:b/>
          <w:sz w:val="24"/>
          <w:szCs w:val="24"/>
        </w:rPr>
      </w:pPr>
      <w:r w:rsidRPr="00E12672">
        <w:rPr>
          <w:rFonts w:ascii="Times New Roman" w:hAnsi="Times New Roman"/>
          <w:b/>
          <w:sz w:val="24"/>
          <w:szCs w:val="24"/>
        </w:rPr>
        <w:t>AND</w:t>
      </w:r>
    </w:p>
    <w:p w:rsidR="002823CB" w:rsidRPr="00E12672" w:rsidRDefault="002823CB" w:rsidP="002823CB">
      <w:pPr>
        <w:spacing w:before="240" w:line="360" w:lineRule="auto"/>
        <w:ind w:left="4320"/>
        <w:jc w:val="both"/>
        <w:rPr>
          <w:rFonts w:ascii="Times New Roman" w:hAnsi="Times New Roman"/>
          <w:b/>
          <w:sz w:val="24"/>
          <w:szCs w:val="24"/>
        </w:rPr>
      </w:pPr>
      <w:r w:rsidRPr="00E12672">
        <w:rPr>
          <w:rFonts w:ascii="Times New Roman" w:hAnsi="Times New Roman"/>
          <w:b/>
          <w:sz w:val="24"/>
          <w:szCs w:val="24"/>
        </w:rPr>
        <w:t xml:space="preserve">In the matter of representation by way of opposition by </w:t>
      </w:r>
      <w:r>
        <w:rPr>
          <w:rFonts w:ascii="Times New Roman" w:hAnsi="Times New Roman"/>
          <w:b/>
          <w:sz w:val="24"/>
          <w:szCs w:val="24"/>
        </w:rPr>
        <w:t xml:space="preserve">Mr. Henminlun </w:t>
      </w:r>
      <w:r w:rsidRPr="00E12672">
        <w:rPr>
          <w:rFonts w:ascii="Times New Roman" w:hAnsi="Times New Roman"/>
          <w:b/>
          <w:sz w:val="24"/>
          <w:szCs w:val="24"/>
        </w:rPr>
        <w:t>(Opponent)</w:t>
      </w:r>
    </w:p>
    <w:p w:rsidR="002823CB" w:rsidRPr="00E12672" w:rsidRDefault="002823CB" w:rsidP="002823CB">
      <w:pPr>
        <w:spacing w:before="240" w:line="360" w:lineRule="auto"/>
        <w:ind w:left="720" w:right="720"/>
        <w:jc w:val="both"/>
        <w:rPr>
          <w:rFonts w:ascii="Times New Roman" w:hAnsi="Times New Roman"/>
          <w:b/>
          <w:sz w:val="24"/>
          <w:szCs w:val="24"/>
        </w:rPr>
      </w:pPr>
    </w:p>
    <w:p w:rsidR="002823CB" w:rsidRPr="00E12672" w:rsidRDefault="002823CB" w:rsidP="002823CB">
      <w:pPr>
        <w:pBdr>
          <w:top w:val="single" w:sz="12" w:space="1" w:color="auto"/>
          <w:bottom w:val="single" w:sz="12" w:space="1" w:color="auto"/>
        </w:pBdr>
        <w:spacing w:before="240" w:line="360" w:lineRule="auto"/>
        <w:ind w:left="720" w:right="720" w:hanging="720"/>
        <w:jc w:val="center"/>
        <w:rPr>
          <w:rFonts w:ascii="Times New Roman" w:hAnsi="Times New Roman"/>
          <w:b/>
          <w:sz w:val="24"/>
          <w:szCs w:val="24"/>
        </w:rPr>
      </w:pPr>
      <w:r w:rsidRPr="00E12672">
        <w:rPr>
          <w:rFonts w:ascii="Times New Roman" w:hAnsi="Times New Roman"/>
          <w:b/>
          <w:sz w:val="24"/>
          <w:szCs w:val="24"/>
        </w:rPr>
        <w:t xml:space="preserve">STATEMENT OF FACTS </w:t>
      </w:r>
    </w:p>
    <w:p w:rsidR="002823CB" w:rsidRDefault="002823CB" w:rsidP="002823CB">
      <w:pPr>
        <w:pStyle w:val="ListParagraph"/>
        <w:numPr>
          <w:ilvl w:val="0"/>
          <w:numId w:val="1"/>
        </w:numPr>
        <w:spacing w:before="240" w:line="360" w:lineRule="auto"/>
        <w:ind w:left="567" w:right="720" w:hanging="567"/>
        <w:jc w:val="both"/>
        <w:rPr>
          <w:rFonts w:ascii="Times New Roman" w:hAnsi="Times New Roman"/>
          <w:b/>
          <w:sz w:val="24"/>
          <w:szCs w:val="24"/>
        </w:rPr>
      </w:pPr>
      <w:r w:rsidRPr="00E12672">
        <w:rPr>
          <w:rFonts w:ascii="Times New Roman" w:hAnsi="Times New Roman"/>
          <w:b/>
          <w:sz w:val="24"/>
          <w:szCs w:val="24"/>
        </w:rPr>
        <w:t>INTRODUCTION</w:t>
      </w:r>
    </w:p>
    <w:p w:rsidR="002823CB" w:rsidRPr="00E12672" w:rsidRDefault="002823CB" w:rsidP="002823CB">
      <w:pPr>
        <w:pStyle w:val="ListParagraph"/>
        <w:spacing w:before="240" w:line="360" w:lineRule="auto"/>
        <w:ind w:left="567" w:right="720"/>
        <w:jc w:val="both"/>
        <w:rPr>
          <w:rFonts w:ascii="Times New Roman" w:hAnsi="Times New Roman"/>
          <w:b/>
          <w:sz w:val="24"/>
          <w:szCs w:val="24"/>
        </w:rPr>
      </w:pPr>
    </w:p>
    <w:p w:rsidR="002823CB" w:rsidRPr="00E12672" w:rsidRDefault="002823CB" w:rsidP="002823CB">
      <w:pPr>
        <w:pStyle w:val="ListParagraph"/>
        <w:numPr>
          <w:ilvl w:val="1"/>
          <w:numId w:val="1"/>
        </w:numPr>
        <w:spacing w:before="240" w:line="360" w:lineRule="auto"/>
        <w:ind w:left="567" w:hanging="567"/>
        <w:jc w:val="both"/>
        <w:rPr>
          <w:rFonts w:ascii="Times New Roman" w:hAnsi="Times New Roman"/>
          <w:sz w:val="24"/>
          <w:szCs w:val="24"/>
        </w:rPr>
      </w:pPr>
      <w:r w:rsidRPr="00E12672">
        <w:rPr>
          <w:rFonts w:ascii="Times New Roman" w:hAnsi="Times New Roman"/>
          <w:bCs/>
          <w:sz w:val="24"/>
          <w:szCs w:val="24"/>
        </w:rPr>
        <w:t xml:space="preserve">Application no. </w:t>
      </w:r>
      <w:r w:rsidRPr="00E12672">
        <w:rPr>
          <w:rFonts w:ascii="Times New Roman" w:hAnsi="Times New Roman"/>
          <w:sz w:val="24"/>
          <w:szCs w:val="24"/>
        </w:rPr>
        <w:t>637/KOLNP/2013 (“Present Application”) titled “</w:t>
      </w:r>
      <w:r w:rsidRPr="00E12672">
        <w:rPr>
          <w:rFonts w:ascii="Times New Roman" w:hAnsi="Times New Roman"/>
          <w:i/>
          <w:sz w:val="24"/>
          <w:szCs w:val="24"/>
        </w:rPr>
        <w:t xml:space="preserve">Pharmaceutical Compositions” </w:t>
      </w:r>
      <w:r w:rsidRPr="00E12672">
        <w:rPr>
          <w:rFonts w:ascii="Times New Roman" w:hAnsi="Times New Roman"/>
          <w:sz w:val="24"/>
          <w:szCs w:val="24"/>
        </w:rPr>
        <w:t xml:space="preserve">was filed by ViiV Healthcare Company (hereinafter “the Patentee”) before the Kolkata Patent Office on 07.13.2013. The Present Application was granted patent number 303371 (hereinafter the </w:t>
      </w:r>
      <w:r w:rsidRPr="00E12672">
        <w:rPr>
          <w:rFonts w:ascii="Times New Roman" w:hAnsi="Times New Roman"/>
          <w:sz w:val="24"/>
          <w:szCs w:val="24"/>
        </w:rPr>
        <w:lastRenderedPageBreak/>
        <w:t>“present patent”) on 24.11.2018.</w:t>
      </w:r>
      <w:r w:rsidRPr="00E12672">
        <w:rPr>
          <w:rFonts w:ascii="Times New Roman" w:hAnsi="Times New Roman"/>
          <w:bCs/>
          <w:sz w:val="24"/>
          <w:szCs w:val="24"/>
        </w:rPr>
        <w:t xml:space="preserve"> The grant of the present patent was published in a journal dated 30.11.2018. Therefore, this opposition has been filed within the time period as prescribed by the Patents Act.</w:t>
      </w:r>
    </w:p>
    <w:p w:rsidR="002823CB" w:rsidRPr="00E12672" w:rsidRDefault="002823CB" w:rsidP="002823CB">
      <w:pPr>
        <w:pStyle w:val="ListParagraph"/>
        <w:numPr>
          <w:ilvl w:val="1"/>
          <w:numId w:val="1"/>
        </w:numPr>
        <w:spacing w:before="240" w:line="360" w:lineRule="auto"/>
        <w:ind w:left="567" w:hanging="567"/>
        <w:jc w:val="both"/>
        <w:rPr>
          <w:rFonts w:ascii="Times New Roman" w:hAnsi="Times New Roman"/>
          <w:sz w:val="24"/>
          <w:szCs w:val="24"/>
        </w:rPr>
      </w:pPr>
      <w:r w:rsidRPr="00E12672">
        <w:rPr>
          <w:rFonts w:ascii="Times New Roman" w:hAnsi="Times New Roman"/>
          <w:bCs/>
          <w:sz w:val="24"/>
          <w:szCs w:val="24"/>
        </w:rPr>
        <w:t xml:space="preserve">Given the present patent was granted by the Patent Office at Kolkata, the Hon’ble Patent Controller at Kolkata has the jurisdiction to hear and decide this post-grant opposition.  </w:t>
      </w:r>
    </w:p>
    <w:p w:rsidR="002823CB" w:rsidRPr="00E12672" w:rsidRDefault="002823CB" w:rsidP="002823CB">
      <w:pPr>
        <w:pStyle w:val="ListParagraph"/>
        <w:numPr>
          <w:ilvl w:val="1"/>
          <w:numId w:val="1"/>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The grant of the present patent has resulted in patent monopoly over the pharmaceutical compositions containing Cabotegravir with potential use as treatment for HIV and may seriously affect the eventual availability of the same to persons affected by HIV.</w:t>
      </w:r>
    </w:p>
    <w:p w:rsidR="002823CB" w:rsidRPr="00E12672" w:rsidRDefault="002823CB" w:rsidP="002823CB">
      <w:pPr>
        <w:pStyle w:val="ListParagraph"/>
        <w:numPr>
          <w:ilvl w:val="1"/>
          <w:numId w:val="1"/>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 Thus, while examining the present patent and the present post-grant opposition, the Hon’ble Patent Controller must strictly interpret the patent law as per the higher standards of patentability criteria set by the law in order to ensure that pharmaceutical companies are not able to obtain patents over new forms of already known substances and that patents are granted only to genuine inventions.</w:t>
      </w:r>
    </w:p>
    <w:p w:rsidR="002823CB" w:rsidRDefault="002823CB" w:rsidP="002823CB">
      <w:pPr>
        <w:pStyle w:val="ListParagraph"/>
        <w:numPr>
          <w:ilvl w:val="1"/>
          <w:numId w:val="1"/>
        </w:numPr>
        <w:spacing w:before="240" w:line="360" w:lineRule="auto"/>
        <w:ind w:left="567" w:hanging="567"/>
        <w:jc w:val="both"/>
        <w:rPr>
          <w:rFonts w:ascii="Times New Roman" w:hAnsi="Times New Roman"/>
          <w:sz w:val="24"/>
          <w:szCs w:val="24"/>
        </w:rPr>
      </w:pPr>
      <w:r w:rsidRPr="00DA5A4C">
        <w:rPr>
          <w:rFonts w:ascii="Times New Roman" w:hAnsi="Times New Roman"/>
          <w:sz w:val="24"/>
          <w:szCs w:val="24"/>
        </w:rPr>
        <w:t>The Opponent i</w:t>
      </w:r>
      <w:r>
        <w:rPr>
          <w:rFonts w:ascii="Times New Roman" w:hAnsi="Times New Roman"/>
          <w:sz w:val="24"/>
          <w:szCs w:val="24"/>
        </w:rPr>
        <w:t>s a person affected by HIV and has been taking treatment for the same since 2002. The petitioner has been using a combination of three anti-retroviral (ARVs) drugs to manage the condition. Any monopolistic and restrictions to new and effective ARVs would seriously affect the Opponent’s right to health and makes him an individual who will be, “</w:t>
      </w:r>
      <w:r w:rsidRPr="009C48F3">
        <w:rPr>
          <w:rFonts w:ascii="Times New Roman" w:hAnsi="Times New Roman"/>
          <w:i/>
          <w:sz w:val="24"/>
          <w:szCs w:val="24"/>
        </w:rPr>
        <w:t>injured or affected by the continuance of the patent on the register</w:t>
      </w:r>
      <w:r>
        <w:rPr>
          <w:rFonts w:ascii="Times New Roman" w:hAnsi="Times New Roman"/>
          <w:sz w:val="24"/>
          <w:szCs w:val="24"/>
        </w:rPr>
        <w:t xml:space="preserve">” (see </w:t>
      </w:r>
      <w:r w:rsidRPr="009C48F3">
        <w:rPr>
          <w:rFonts w:ascii="Times New Roman" w:hAnsi="Times New Roman"/>
          <w:i/>
          <w:sz w:val="24"/>
          <w:szCs w:val="24"/>
        </w:rPr>
        <w:t>Ajay Industrial Corporation v. Sri Kanao</w:t>
      </w:r>
      <w:r w:rsidRPr="009C48F3">
        <w:rPr>
          <w:rFonts w:ascii="Times New Roman" w:hAnsi="Times New Roman"/>
          <w:sz w:val="24"/>
          <w:szCs w:val="24"/>
        </w:rPr>
        <w:t xml:space="preserve"> AIR 1983 Del 496</w:t>
      </w:r>
      <w:r>
        <w:rPr>
          <w:rFonts w:ascii="Times New Roman" w:hAnsi="Times New Roman"/>
          <w:sz w:val="24"/>
          <w:szCs w:val="24"/>
        </w:rPr>
        <w:t xml:space="preserve">). The Opponent has already been on anti-retroviral treatment for over 15 years. Therefore, it becomes even more imperative for the Opponent to have access to the next generation drugs such as the one comprising Cabotegravir is available at affordable costs. The Opponent has been an HIV treatment activist who works with several HIV positive groups in India and across the globe to ensure availability and accessibility of HIV treatment. He also works with persons affected by opportunistic infections such as Hepatitis C and Tuberculosis to ensure that appropriate policies to ensure uninterrupted </w:t>
      </w:r>
      <w:r>
        <w:rPr>
          <w:rFonts w:ascii="Times New Roman" w:hAnsi="Times New Roman"/>
          <w:sz w:val="24"/>
          <w:szCs w:val="24"/>
        </w:rPr>
        <w:lastRenderedPageBreak/>
        <w:t xml:space="preserve">supply of effective and cheap generic medicines. It has internationally also been recognised </w:t>
      </w:r>
      <w:r w:rsidRPr="00DA5A4C">
        <w:rPr>
          <w:rFonts w:ascii="Times New Roman" w:hAnsi="Times New Roman"/>
          <w:sz w:val="24"/>
          <w:szCs w:val="24"/>
        </w:rPr>
        <w:t xml:space="preserve">patients and non-governmental organisations representing their interest </w:t>
      </w:r>
      <w:r>
        <w:rPr>
          <w:rFonts w:ascii="Times New Roman" w:hAnsi="Times New Roman"/>
          <w:sz w:val="24"/>
          <w:szCs w:val="24"/>
        </w:rPr>
        <w:t>are</w:t>
      </w:r>
      <w:r w:rsidRPr="00DA5A4C">
        <w:rPr>
          <w:rFonts w:ascii="Times New Roman" w:hAnsi="Times New Roman"/>
          <w:sz w:val="24"/>
          <w:szCs w:val="24"/>
        </w:rPr>
        <w:t xml:space="preserve"> “person interested” in proceedings challenging the validity of patents. </w:t>
      </w:r>
      <w:r>
        <w:rPr>
          <w:rFonts w:ascii="Times New Roman" w:hAnsi="Times New Roman"/>
          <w:sz w:val="24"/>
          <w:szCs w:val="24"/>
        </w:rPr>
        <w:t xml:space="preserve"> It is submitted that the Opponent is a person interested as for the purposes of the Patents Act and has the locus standi to file the present application for post-grant opposition.</w:t>
      </w:r>
    </w:p>
    <w:p w:rsidR="002823CB" w:rsidRPr="00E12672" w:rsidRDefault="002823CB" w:rsidP="002823CB">
      <w:pPr>
        <w:pStyle w:val="ListParagraph"/>
        <w:spacing w:before="240" w:line="360" w:lineRule="auto"/>
        <w:ind w:left="567"/>
        <w:jc w:val="both"/>
        <w:rPr>
          <w:rFonts w:ascii="Times New Roman" w:hAnsi="Times New Roman"/>
          <w:sz w:val="24"/>
          <w:szCs w:val="24"/>
        </w:rPr>
      </w:pPr>
    </w:p>
    <w:p w:rsidR="002823CB" w:rsidRDefault="002823CB" w:rsidP="002823CB">
      <w:pPr>
        <w:pStyle w:val="ListParagraph"/>
        <w:numPr>
          <w:ilvl w:val="0"/>
          <w:numId w:val="1"/>
        </w:numPr>
        <w:spacing w:before="240" w:line="360" w:lineRule="auto"/>
        <w:ind w:left="567" w:hanging="567"/>
        <w:jc w:val="both"/>
        <w:rPr>
          <w:rStyle w:val="txtnormal1"/>
          <w:rFonts w:ascii="Times New Roman" w:hAnsi="Times New Roman" w:cs="Times New Roman"/>
          <w:b/>
          <w:sz w:val="24"/>
          <w:szCs w:val="24"/>
        </w:rPr>
      </w:pPr>
      <w:r w:rsidRPr="00E12672">
        <w:rPr>
          <w:rFonts w:ascii="Times New Roman" w:hAnsi="Times New Roman"/>
          <w:b/>
          <w:sz w:val="24"/>
          <w:szCs w:val="24"/>
        </w:rPr>
        <w:t>ACCESS TO MEDICINES AND STRICT INTERPRETATION OF PATENTABILITY STANDARDS</w:t>
      </w:r>
      <w:r w:rsidRPr="00E12672">
        <w:rPr>
          <w:rStyle w:val="txtnormal1"/>
          <w:rFonts w:ascii="Times New Roman" w:hAnsi="Times New Roman" w:cs="Times New Roman"/>
          <w:b/>
          <w:sz w:val="24"/>
          <w:szCs w:val="24"/>
        </w:rPr>
        <w:t xml:space="preserve"> </w:t>
      </w:r>
    </w:p>
    <w:p w:rsidR="002823CB" w:rsidRPr="00E12672" w:rsidRDefault="002823CB" w:rsidP="002823CB">
      <w:pPr>
        <w:pStyle w:val="ListParagraph"/>
        <w:spacing w:before="240" w:line="360" w:lineRule="auto"/>
        <w:ind w:left="567"/>
        <w:jc w:val="both"/>
        <w:rPr>
          <w:rFonts w:ascii="Times New Roman" w:hAnsi="Times New Roman"/>
          <w:b/>
          <w:sz w:val="24"/>
          <w:szCs w:val="24"/>
        </w:rPr>
      </w:pPr>
    </w:p>
    <w:p w:rsidR="002823CB" w:rsidRPr="008C54A4"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India has made a commitment of achieving “End of AIDS” by 2030 as a part of the Sustainable Development Goals. At the end of 2017, India had an estimated 21.40 lakh people living with HIV.</w:t>
      </w:r>
    </w:p>
    <w:p w:rsidR="002823CB"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Presently, there is no cure for HIV. HIV is partly manageable if correct and timely treatment is commenced. Due to availability of anti-retroviral drugs (ARVs), HIV has become a lifelong manageable condition for many in the developed world while it continues to be fatal for the population in developing and least developing countries that cannot afford the treatment. Patent protections granted to medicines to treat HIV only exacerbate this problem.</w:t>
      </w:r>
      <w:r>
        <w:rPr>
          <w:rFonts w:ascii="Times New Roman" w:hAnsi="Times New Roman"/>
          <w:sz w:val="24"/>
          <w:szCs w:val="24"/>
        </w:rPr>
        <w:t xml:space="preserve"> </w:t>
      </w:r>
    </w:p>
    <w:p w:rsidR="002823CB" w:rsidRPr="00E12672"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Pr>
          <w:rFonts w:ascii="Times New Roman" w:hAnsi="Times New Roman"/>
          <w:sz w:val="24"/>
          <w:szCs w:val="24"/>
        </w:rPr>
        <w:t>The ARVs mostly comprise reverse transcriptase inhibitors or protease inhibitors.</w:t>
      </w:r>
      <w:r w:rsidRPr="00E12672">
        <w:rPr>
          <w:rFonts w:ascii="Times New Roman" w:hAnsi="Times New Roman"/>
          <w:sz w:val="24"/>
          <w:szCs w:val="24"/>
        </w:rPr>
        <w:t xml:space="preserve"> The antiretroviral therapy to be administered comprises administering combination of at least three antiretroviral drugs from different classes. </w:t>
      </w:r>
    </w:p>
    <w:p w:rsidR="002823CB" w:rsidRPr="00E12672"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Between 2001 and 2006, the prices of first- line ARVs plummeted nearly 100-fold, from around USD 10,000 (Rs. 4, 50,000) per person per year to USD 150 (Rs. 6,750) per person per year. Subsequently there was a dramatic drop in the pharmaceutical prices attributable to the absence of product patent protection on medicines in India. The absence of the product patent on pharmaceuticals ensured competition between multiple producers of these lifesaving medicines, leading to affordable prices. This enabled the </w:t>
      </w:r>
      <w:r w:rsidRPr="00E12672">
        <w:rPr>
          <w:rFonts w:ascii="Times New Roman" w:hAnsi="Times New Roman"/>
          <w:sz w:val="24"/>
          <w:szCs w:val="24"/>
        </w:rPr>
        <w:lastRenderedPageBreak/>
        <w:t xml:space="preserve">governments of India and other countries to scale up access to treatment for person living with HIV (PLHIV). </w:t>
      </w:r>
    </w:p>
    <w:p w:rsidR="002823CB" w:rsidRPr="00E12672"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The most effective way to lower the cost of these essential medicines is to promote competition. For this, it is imperative that uninventive, incremental improvements or subject matter not meeting the strict patentability standards set by India should not be granted a patent.</w:t>
      </w:r>
    </w:p>
    <w:p w:rsidR="002823CB" w:rsidRPr="00E12672"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Although the obligation under the WTO regime required India to introduce product patent protection for pharmaceutical products through the Patents (Amendment) Act of 2005, India ensured that it introduces strict patentability standards. </w:t>
      </w:r>
    </w:p>
    <w:p w:rsidR="002823CB" w:rsidRPr="00E12672"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Taking into account the concerns of public health and the Doha Declaration on the TRIPS Agreement and Public Health (2001), the Indian Parliament introduced certain provisions, while passing the Patents (Amendment) Act, 2005 to amend the Patents Act, 1970 (hereinafter referred to as the “Patents Act”), to ensure that patents are granted only for genuine inventions and to prevent “evergreening”, i.e. creation or extension of monopolies through patent terms by obtaining for minor or routine modifications. </w:t>
      </w:r>
    </w:p>
    <w:p w:rsidR="002823CB" w:rsidRPr="00E12672"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The Hon’ble Madras High Court, in </w:t>
      </w:r>
      <w:r w:rsidRPr="00E12672">
        <w:rPr>
          <w:rFonts w:ascii="Times New Roman" w:hAnsi="Times New Roman"/>
          <w:i/>
          <w:sz w:val="24"/>
          <w:szCs w:val="24"/>
        </w:rPr>
        <w:t xml:space="preserve">Novartis AG v. Union of India and Others, </w:t>
      </w:r>
      <w:r w:rsidRPr="00E12672">
        <w:rPr>
          <w:rFonts w:ascii="Times New Roman" w:hAnsi="Times New Roman"/>
          <w:sz w:val="24"/>
          <w:szCs w:val="24"/>
        </w:rPr>
        <w:t>(2007) 4 MLJ 1153, while upholding section 3(d) against a constitutional challenge, stated: “</w:t>
      </w:r>
      <w:r w:rsidRPr="00E12672">
        <w:rPr>
          <w:rFonts w:ascii="Times New Roman" w:hAnsi="Times New Roman"/>
          <w:i/>
          <w:sz w:val="24"/>
          <w:szCs w:val="24"/>
        </w:rPr>
        <w:t>We have borne in mind the object which the Amending Act wanted to achieve namely, to prevent evergreening; to provide easy access to the citizens of this country to life saving drugs and to discharge their Constitutional obligation of providing good health care to its citizens</w:t>
      </w:r>
      <w:r w:rsidRPr="00E12672">
        <w:rPr>
          <w:rFonts w:ascii="Times New Roman" w:hAnsi="Times New Roman"/>
          <w:sz w:val="24"/>
          <w:szCs w:val="24"/>
        </w:rPr>
        <w:t xml:space="preserve">.” [See para 19]. </w:t>
      </w:r>
    </w:p>
    <w:p w:rsidR="002823CB"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sidRPr="00D57CD6">
        <w:rPr>
          <w:rFonts w:ascii="Times New Roman" w:hAnsi="Times New Roman"/>
          <w:sz w:val="24"/>
          <w:szCs w:val="24"/>
        </w:rPr>
        <w:t>According to</w:t>
      </w:r>
      <w:r>
        <w:rPr>
          <w:rFonts w:ascii="Times New Roman" w:hAnsi="Times New Roman"/>
          <w:sz w:val="24"/>
          <w:szCs w:val="24"/>
        </w:rPr>
        <w:t xml:space="preserve"> the India HIV Estimations</w:t>
      </w:r>
      <w:r w:rsidRPr="00D57CD6">
        <w:rPr>
          <w:rFonts w:ascii="Times New Roman" w:hAnsi="Times New Roman"/>
          <w:sz w:val="24"/>
          <w:szCs w:val="24"/>
        </w:rPr>
        <w:t xml:space="preserve"> 2017</w:t>
      </w:r>
      <w:r>
        <w:rPr>
          <w:rFonts w:ascii="Times New Roman" w:hAnsi="Times New Roman"/>
          <w:sz w:val="24"/>
          <w:szCs w:val="24"/>
        </w:rPr>
        <w:t xml:space="preserve"> Technical Report</w:t>
      </w:r>
      <w:r w:rsidRPr="00D57CD6">
        <w:rPr>
          <w:rFonts w:ascii="Times New Roman" w:hAnsi="Times New Roman"/>
          <w:sz w:val="24"/>
          <w:szCs w:val="24"/>
        </w:rPr>
        <w:t xml:space="preserve"> only 56% of PLHIV</w:t>
      </w:r>
      <w:r>
        <w:rPr>
          <w:rFonts w:ascii="Times New Roman" w:hAnsi="Times New Roman"/>
          <w:sz w:val="24"/>
          <w:szCs w:val="24"/>
        </w:rPr>
        <w:t xml:space="preserve"> are on ARV treatment in India </w:t>
      </w:r>
      <w:r w:rsidRPr="00D57CD6">
        <w:rPr>
          <w:rFonts w:ascii="Times New Roman" w:hAnsi="Times New Roman"/>
          <w:sz w:val="24"/>
          <w:szCs w:val="24"/>
        </w:rPr>
        <w:t xml:space="preserve">against the global target of </w:t>
      </w:r>
      <w:r>
        <w:rPr>
          <w:rFonts w:ascii="Times New Roman" w:hAnsi="Times New Roman"/>
          <w:sz w:val="24"/>
          <w:szCs w:val="24"/>
        </w:rPr>
        <w:t xml:space="preserve">putting </w:t>
      </w:r>
      <w:r w:rsidRPr="00D57CD6">
        <w:rPr>
          <w:rFonts w:ascii="Times New Roman" w:hAnsi="Times New Roman"/>
          <w:sz w:val="24"/>
          <w:szCs w:val="24"/>
        </w:rPr>
        <w:t xml:space="preserve">82% of PLHIV on ARV by 2020. There are multiple factors affecting access to initiation of ARV treatment and adherence to ARV treatment regime. </w:t>
      </w:r>
      <w:r>
        <w:rPr>
          <w:rFonts w:ascii="Times New Roman" w:hAnsi="Times New Roman"/>
          <w:sz w:val="24"/>
          <w:szCs w:val="24"/>
        </w:rPr>
        <w:t>These factors include</w:t>
      </w:r>
      <w:r w:rsidRPr="00D57CD6">
        <w:rPr>
          <w:rFonts w:ascii="Times New Roman" w:hAnsi="Times New Roman"/>
          <w:sz w:val="24"/>
          <w:szCs w:val="24"/>
        </w:rPr>
        <w:t xml:space="preserve"> stigma, logistical challenges, and resource limited settings leading to poor treatment compliance and treatment interr</w:t>
      </w:r>
      <w:r>
        <w:rPr>
          <w:rFonts w:ascii="Times New Roman" w:hAnsi="Times New Roman"/>
          <w:sz w:val="24"/>
          <w:szCs w:val="24"/>
        </w:rPr>
        <w:t>uption or even cessation that can contribute</w:t>
      </w:r>
      <w:r w:rsidRPr="00D57CD6">
        <w:rPr>
          <w:rFonts w:ascii="Times New Roman" w:hAnsi="Times New Roman"/>
          <w:sz w:val="24"/>
          <w:szCs w:val="24"/>
        </w:rPr>
        <w:t xml:space="preserve"> to emergence of </w:t>
      </w:r>
      <w:r>
        <w:rPr>
          <w:rFonts w:ascii="Times New Roman" w:hAnsi="Times New Roman"/>
          <w:sz w:val="24"/>
          <w:szCs w:val="24"/>
        </w:rPr>
        <w:t>drug resistant virus</w:t>
      </w:r>
      <w:r w:rsidRPr="00D57CD6">
        <w:rPr>
          <w:rFonts w:ascii="Times New Roman" w:hAnsi="Times New Roman"/>
          <w:sz w:val="24"/>
          <w:szCs w:val="24"/>
        </w:rPr>
        <w:t xml:space="preserve">. In </w:t>
      </w:r>
      <w:r w:rsidRPr="00D57CD6">
        <w:rPr>
          <w:rFonts w:ascii="Times New Roman" w:hAnsi="Times New Roman"/>
          <w:sz w:val="24"/>
          <w:szCs w:val="24"/>
        </w:rPr>
        <w:lastRenderedPageBreak/>
        <w:t>order to overcome these impediments newer long acting technologies</w:t>
      </w:r>
      <w:r>
        <w:rPr>
          <w:rFonts w:ascii="Times New Roman" w:hAnsi="Times New Roman"/>
          <w:sz w:val="24"/>
          <w:szCs w:val="24"/>
        </w:rPr>
        <w:t xml:space="preserve"> have been explored</w:t>
      </w:r>
      <w:r w:rsidRPr="00D57CD6">
        <w:rPr>
          <w:rFonts w:ascii="Times New Roman" w:hAnsi="Times New Roman"/>
          <w:sz w:val="24"/>
          <w:szCs w:val="24"/>
        </w:rPr>
        <w:t xml:space="preserve"> for delivery of anti-retro viral drug formulations</w:t>
      </w:r>
      <w:r>
        <w:rPr>
          <w:rFonts w:ascii="Times New Roman" w:hAnsi="Times New Roman"/>
          <w:sz w:val="24"/>
          <w:szCs w:val="24"/>
        </w:rPr>
        <w:t xml:space="preserve"> allowing administration of ARVs at lesser frequency. Such long-acting formulations help </w:t>
      </w:r>
      <w:r w:rsidRPr="00D57CD6">
        <w:rPr>
          <w:rFonts w:ascii="Times New Roman" w:hAnsi="Times New Roman"/>
          <w:sz w:val="24"/>
          <w:szCs w:val="24"/>
        </w:rPr>
        <w:t>improve patient adherence, contain drug resistance and eventually reduce cost.</w:t>
      </w:r>
    </w:p>
    <w:p w:rsidR="002823CB" w:rsidRPr="00E12672" w:rsidRDefault="002823CB" w:rsidP="002823CB">
      <w:pPr>
        <w:pStyle w:val="ListParagraph"/>
        <w:numPr>
          <w:ilvl w:val="0"/>
          <w:numId w:val="3"/>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The present patent relates to pharmaceutical composition comprising Cabotegravir, which is an integrase inhibitor with </w:t>
      </w:r>
      <w:r w:rsidRPr="00DA5A4C">
        <w:rPr>
          <w:rFonts w:ascii="Times New Roman" w:hAnsi="Times New Roman"/>
          <w:sz w:val="24"/>
          <w:szCs w:val="24"/>
        </w:rPr>
        <w:t>potential use in HIV treatment.</w:t>
      </w:r>
      <w:r w:rsidRPr="00E12672">
        <w:rPr>
          <w:rFonts w:ascii="Times New Roman" w:hAnsi="Times New Roman"/>
          <w:sz w:val="24"/>
          <w:szCs w:val="24"/>
        </w:rPr>
        <w:t xml:space="preserve"> Cabotegravir is presently undergoing third phase trials wherein the </w:t>
      </w:r>
      <w:r w:rsidRPr="00E12672">
        <w:rPr>
          <w:rFonts w:ascii="Times New Roman" w:hAnsi="Times New Roman"/>
          <w:sz w:val="24"/>
          <w:szCs w:val="24"/>
          <w:shd w:val="clear" w:color="auto" w:fill="FFFFFF"/>
        </w:rPr>
        <w:t>safety and effectiveness of long acting Cabotegravir with long acting Rilpivirine in adults with HIV who are virologically suppressed is being studied, and phase two trial studying safety, tolerability, and acceptability of long acting Cabotegravir for </w:t>
      </w:r>
      <w:r w:rsidRPr="00E12672">
        <w:rPr>
          <w:rStyle w:val="gus-term-link"/>
          <w:rFonts w:ascii="Times New Roman" w:hAnsi="Times New Roman"/>
          <w:sz w:val="24"/>
          <w:szCs w:val="24"/>
          <w:shd w:val="clear" w:color="auto" w:fill="FFFFFF"/>
        </w:rPr>
        <w:t>pre-exposure prophylaxis</w:t>
      </w:r>
      <w:r w:rsidRPr="00E12672">
        <w:rPr>
          <w:rFonts w:ascii="Times New Roman" w:hAnsi="Times New Roman"/>
          <w:sz w:val="24"/>
          <w:szCs w:val="24"/>
          <w:shd w:val="clear" w:color="auto" w:fill="FFFFFF"/>
        </w:rPr>
        <w:t xml:space="preserve"> (PrEP). </w:t>
      </w:r>
      <w:r w:rsidRPr="00E12672">
        <w:rPr>
          <w:rFonts w:ascii="Times New Roman" w:hAnsi="Times New Roman"/>
          <w:sz w:val="24"/>
          <w:szCs w:val="24"/>
        </w:rPr>
        <w:t xml:space="preserve">  </w:t>
      </w:r>
    </w:p>
    <w:p w:rsidR="002823CB" w:rsidRPr="00E12672" w:rsidRDefault="002823CB" w:rsidP="002823CB">
      <w:pPr>
        <w:pStyle w:val="ListParagraph"/>
        <w:numPr>
          <w:ilvl w:val="0"/>
          <w:numId w:val="3"/>
        </w:numPr>
        <w:spacing w:before="240" w:line="360" w:lineRule="auto"/>
        <w:ind w:left="567" w:hanging="567"/>
        <w:jc w:val="both"/>
        <w:rPr>
          <w:rFonts w:ascii="Times New Roman" w:hAnsi="Times New Roman"/>
          <w:sz w:val="24"/>
          <w:szCs w:val="24"/>
          <w:u w:val="single"/>
        </w:rPr>
      </w:pPr>
      <w:r w:rsidRPr="00E12672">
        <w:rPr>
          <w:rFonts w:ascii="Times New Roman" w:hAnsi="Times New Roman"/>
          <w:sz w:val="24"/>
          <w:szCs w:val="24"/>
        </w:rPr>
        <w:t>Granting patents to undeserving applications covering Cabotegravir would risk public health measures and impede access of an important drug for HIV affected persons and population vulnerable to HIV.</w:t>
      </w:r>
    </w:p>
    <w:p w:rsidR="002823CB" w:rsidRPr="00E12672" w:rsidRDefault="002823CB" w:rsidP="002823CB">
      <w:pPr>
        <w:pStyle w:val="ListParagraph"/>
        <w:numPr>
          <w:ilvl w:val="0"/>
          <w:numId w:val="3"/>
        </w:numPr>
        <w:spacing w:before="240" w:line="360" w:lineRule="auto"/>
        <w:ind w:left="567" w:hanging="567"/>
        <w:jc w:val="both"/>
        <w:rPr>
          <w:rFonts w:ascii="Times New Roman" w:hAnsi="Times New Roman"/>
          <w:sz w:val="24"/>
          <w:szCs w:val="24"/>
          <w:u w:val="single"/>
        </w:rPr>
      </w:pPr>
      <w:r w:rsidRPr="00E12672">
        <w:rPr>
          <w:rFonts w:ascii="Times New Roman" w:hAnsi="Times New Roman"/>
          <w:sz w:val="24"/>
          <w:szCs w:val="24"/>
        </w:rPr>
        <w:t xml:space="preserve">As such, the Opponent submits that the Hon’ble Patent Controller, while considering the present post-grant opposition and while interpreting the provisions of the Patents Act, must bear in mind the intent of the Parliament in making the amendments, i.e. India’s compliance with its international obligations under the Agreement on Trade Related Aspects of Intellectual Property Rights without compromising the right to health of its citizens by disallowing ever-greening of patents. </w:t>
      </w:r>
    </w:p>
    <w:p w:rsidR="002823CB" w:rsidRPr="008A1AA9" w:rsidRDefault="002823CB" w:rsidP="002823CB">
      <w:pPr>
        <w:pStyle w:val="ListParagraph"/>
        <w:numPr>
          <w:ilvl w:val="0"/>
          <w:numId w:val="3"/>
        </w:numPr>
        <w:spacing w:before="240" w:line="360" w:lineRule="auto"/>
        <w:ind w:left="567" w:hanging="567"/>
        <w:jc w:val="both"/>
        <w:rPr>
          <w:rFonts w:ascii="Times New Roman" w:hAnsi="Times New Roman"/>
          <w:sz w:val="24"/>
          <w:szCs w:val="24"/>
          <w:u w:val="single"/>
        </w:rPr>
      </w:pPr>
      <w:r w:rsidRPr="00E12672">
        <w:rPr>
          <w:rFonts w:ascii="Times New Roman" w:hAnsi="Times New Roman"/>
          <w:sz w:val="24"/>
          <w:szCs w:val="24"/>
        </w:rPr>
        <w:t xml:space="preserve">The Opponent firmly believes that a proper application of the patentability standards set out in Section 3 of the Patents Act, as well as those embodied in section 2(1)(j) and section 2(1)(ja) of the Patents Act, will result in the rejection of the present patent. The Opponent, therefore humbly requests that the Hon’ble Patent Controller and the Opposition Board scrutinise the present patent with special care, as its decision will determine whether millions of people will have affordable access to lifesaving treatment. </w:t>
      </w:r>
    </w:p>
    <w:p w:rsidR="002823CB" w:rsidRPr="00E12672" w:rsidRDefault="002823CB" w:rsidP="002823CB">
      <w:pPr>
        <w:pStyle w:val="ListParagraph"/>
        <w:spacing w:before="240" w:line="360" w:lineRule="auto"/>
        <w:ind w:left="567"/>
        <w:jc w:val="both"/>
        <w:rPr>
          <w:rFonts w:ascii="Times New Roman" w:hAnsi="Times New Roman"/>
          <w:sz w:val="24"/>
          <w:szCs w:val="24"/>
          <w:u w:val="single"/>
        </w:rPr>
      </w:pPr>
    </w:p>
    <w:p w:rsidR="002823CB" w:rsidRPr="00E12672" w:rsidRDefault="002823CB" w:rsidP="002823CB">
      <w:pPr>
        <w:pStyle w:val="ListParagraph"/>
        <w:spacing w:before="240" w:line="360" w:lineRule="auto"/>
        <w:ind w:left="567" w:right="720"/>
        <w:jc w:val="both"/>
        <w:rPr>
          <w:rFonts w:ascii="Times New Roman" w:hAnsi="Times New Roman"/>
          <w:b/>
          <w:sz w:val="24"/>
          <w:szCs w:val="24"/>
        </w:rPr>
      </w:pPr>
    </w:p>
    <w:p w:rsidR="002823CB" w:rsidRPr="00E12672" w:rsidRDefault="002823CB" w:rsidP="002823CB">
      <w:pPr>
        <w:pStyle w:val="ListParagraph"/>
        <w:numPr>
          <w:ilvl w:val="0"/>
          <w:numId w:val="1"/>
        </w:numPr>
        <w:spacing w:before="240" w:line="360" w:lineRule="auto"/>
        <w:ind w:left="567" w:right="720" w:hanging="567"/>
        <w:jc w:val="both"/>
        <w:rPr>
          <w:rFonts w:ascii="Times New Roman" w:hAnsi="Times New Roman"/>
          <w:b/>
          <w:sz w:val="24"/>
          <w:szCs w:val="24"/>
        </w:rPr>
      </w:pPr>
      <w:r w:rsidRPr="00E12672">
        <w:rPr>
          <w:rFonts w:ascii="Times New Roman" w:hAnsi="Times New Roman"/>
          <w:b/>
          <w:sz w:val="24"/>
          <w:szCs w:val="24"/>
        </w:rPr>
        <w:lastRenderedPageBreak/>
        <w:t xml:space="preserve">PRESENT PATENT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sz w:val="24"/>
          <w:szCs w:val="24"/>
        </w:rPr>
      </w:pPr>
      <w:r w:rsidRPr="00E12672">
        <w:rPr>
          <w:rFonts w:ascii="Times New Roman" w:hAnsi="Times New Roman"/>
          <w:sz w:val="24"/>
          <w:szCs w:val="24"/>
        </w:rPr>
        <w:t>The present patent no. 303371 stems from application no. 637/KOLNP/2013 filed at the Kolkata Patent office on 07.03.2013. The present patent titled, “</w:t>
      </w:r>
      <w:r w:rsidRPr="00E12672">
        <w:rPr>
          <w:rFonts w:ascii="Times New Roman" w:hAnsi="Times New Roman"/>
          <w:i/>
          <w:sz w:val="24"/>
          <w:szCs w:val="24"/>
        </w:rPr>
        <w:t xml:space="preserve">Pharmaceutical Compositions”, </w:t>
      </w:r>
      <w:r w:rsidRPr="00E12672">
        <w:rPr>
          <w:rFonts w:ascii="Times New Roman" w:hAnsi="Times New Roman"/>
          <w:sz w:val="24"/>
          <w:szCs w:val="24"/>
        </w:rPr>
        <w:t xml:space="preserve">was filed in India by VIIV Healthcare Company.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sz w:val="24"/>
          <w:szCs w:val="24"/>
        </w:rPr>
      </w:pPr>
      <w:r w:rsidRPr="00E12672">
        <w:rPr>
          <w:rFonts w:ascii="Times New Roman" w:hAnsi="Times New Roman"/>
          <w:sz w:val="24"/>
          <w:szCs w:val="24"/>
        </w:rPr>
        <w:t xml:space="preserve">The PCT Application No. PCT/US2011/051713 relating to the present patent was filed on 15.09.2011. The present patent claims priority from a US Application No. 61,383,541 filed on 16.09.2010.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sz w:val="24"/>
          <w:szCs w:val="24"/>
        </w:rPr>
      </w:pPr>
      <w:r w:rsidRPr="00E12672">
        <w:rPr>
          <w:rFonts w:ascii="Times New Roman" w:hAnsi="Times New Roman"/>
          <w:sz w:val="24"/>
          <w:szCs w:val="24"/>
        </w:rPr>
        <w:t xml:space="preserve">The present patent relates to, </w:t>
      </w:r>
      <w:r w:rsidRPr="00E12672">
        <w:rPr>
          <w:rFonts w:ascii="Times New Roman" w:hAnsi="Times New Roman"/>
          <w:i/>
          <w:sz w:val="24"/>
          <w:szCs w:val="24"/>
        </w:rPr>
        <w:t>inter alia</w:t>
      </w:r>
      <w:r w:rsidRPr="00E12672">
        <w:rPr>
          <w:rFonts w:ascii="Times New Roman" w:hAnsi="Times New Roman"/>
          <w:sz w:val="24"/>
          <w:szCs w:val="24"/>
        </w:rPr>
        <w:t xml:space="preserve">, a pharmaceutical composition of (3S, 11aR)-N-[(2,4-difluorophenyl) methyl]-2,3,5,7, 11,11a-hexahydro-6-hydroxy-3-methyl-5,7-dioxo-oxazolo [3,2-a]pyrido [1,2-d]pyrazine-8-carboxamide. </w:t>
      </w:r>
    </w:p>
    <w:p w:rsidR="002823CB" w:rsidRPr="00E12672" w:rsidRDefault="002823CB" w:rsidP="002823CB">
      <w:pPr>
        <w:pStyle w:val="ListParagraph"/>
        <w:spacing w:before="240" w:line="360" w:lineRule="auto"/>
        <w:ind w:left="567"/>
        <w:jc w:val="both"/>
        <w:rPr>
          <w:rFonts w:ascii="Times New Roman" w:hAnsi="Times New Roman"/>
          <w:b/>
          <w:sz w:val="24"/>
          <w:szCs w:val="24"/>
        </w:rPr>
      </w:pPr>
    </w:p>
    <w:p w:rsidR="002823CB" w:rsidRDefault="002823CB" w:rsidP="002823CB">
      <w:pPr>
        <w:pStyle w:val="ListParagraph"/>
        <w:numPr>
          <w:ilvl w:val="0"/>
          <w:numId w:val="1"/>
        </w:numPr>
        <w:spacing w:before="240" w:line="360" w:lineRule="auto"/>
        <w:ind w:left="567" w:right="720" w:hanging="567"/>
        <w:jc w:val="both"/>
        <w:rPr>
          <w:rFonts w:ascii="Times New Roman" w:hAnsi="Times New Roman"/>
          <w:b/>
          <w:sz w:val="24"/>
          <w:szCs w:val="24"/>
        </w:rPr>
      </w:pPr>
      <w:r w:rsidRPr="00E12672">
        <w:rPr>
          <w:rFonts w:ascii="Times New Roman" w:hAnsi="Times New Roman"/>
          <w:sz w:val="24"/>
          <w:szCs w:val="24"/>
        </w:rPr>
        <w:t xml:space="preserve"> </w:t>
      </w:r>
      <w:r w:rsidRPr="00E12672">
        <w:rPr>
          <w:rFonts w:ascii="Times New Roman" w:hAnsi="Times New Roman"/>
          <w:b/>
          <w:sz w:val="24"/>
          <w:szCs w:val="24"/>
        </w:rPr>
        <w:t>ALLEGED INVENTION</w:t>
      </w:r>
    </w:p>
    <w:p w:rsidR="002823CB" w:rsidRPr="00E12672" w:rsidRDefault="002823CB" w:rsidP="002823CB">
      <w:pPr>
        <w:pStyle w:val="ListParagraph"/>
        <w:spacing w:before="240" w:line="360" w:lineRule="auto"/>
        <w:ind w:left="567" w:right="720"/>
        <w:jc w:val="both"/>
        <w:rPr>
          <w:rFonts w:ascii="Times New Roman" w:hAnsi="Times New Roman"/>
          <w:b/>
          <w:sz w:val="24"/>
          <w:szCs w:val="24"/>
        </w:rPr>
      </w:pPr>
      <w:r w:rsidRPr="00E12672">
        <w:rPr>
          <w:rFonts w:ascii="Times New Roman" w:hAnsi="Times New Roman"/>
          <w:b/>
          <w:sz w:val="24"/>
          <w:szCs w:val="24"/>
        </w:rPr>
        <w:t xml:space="preserve">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The abstract of the present patent indicates that it discloses </w:t>
      </w:r>
      <w:r w:rsidRPr="00E12672">
        <w:rPr>
          <w:rFonts w:ascii="Times New Roman" w:hAnsi="Times New Roman"/>
          <w:i/>
          <w:sz w:val="24"/>
          <w:szCs w:val="24"/>
        </w:rPr>
        <w:t>“pharmaceutical compositions of (3S, 11aR)- N- [(2,4- difluorophenyl)methyl]- 2,3,5,7,  11, 11a- hexahydro-6-hydroxy-3-methyl-5,7- dioxo- oxazolo[3,2-a]pyrido[1, 2-d]pyrazine-8-carboxamide, useful in the treatment or prevention of Human Immunodeficiency Virus (HIV) infections.”</w:t>
      </w:r>
      <w:r w:rsidRPr="00E12672">
        <w:rPr>
          <w:rFonts w:ascii="Times New Roman" w:hAnsi="Times New Roman"/>
          <w:sz w:val="24"/>
          <w:szCs w:val="24"/>
        </w:rPr>
        <w:t xml:space="preserve"> The compound (3S, 11aR)-N-[(2,4-difluorophenyl) methyl]-2,3,5,7, 11,11a-hexahydro-6-hydroxy-3-methyl-5,7-dioxo-oxazolo [3,2-a]pyrido [1,2-d]pyrazine-8-carboxamide  is known as cabotegravir, suitable for prevention or treatment of HIV and AIDS and is structurally represented as below (see complete specification of </w:t>
      </w:r>
      <w:r w:rsidRPr="00E12672">
        <w:rPr>
          <w:rFonts w:ascii="Times New Roman" w:hAnsi="Times New Roman"/>
          <w:sz w:val="24"/>
          <w:szCs w:val="24"/>
        </w:rPr>
        <w:lastRenderedPageBreak/>
        <w:t>present patent at internal page 2)</w:t>
      </w:r>
      <w:r w:rsidRPr="00E12672">
        <w:rPr>
          <w:rFonts w:ascii="Times New Roman" w:hAnsi="Times New Roman"/>
          <w:noProof/>
          <w:sz w:val="24"/>
          <w:szCs w:val="24"/>
          <w:lang w:val="en-US"/>
        </w:rPr>
        <w:t xml:space="preserve">                   </w:t>
      </w:r>
      <w:r w:rsidRPr="00E12672">
        <w:rPr>
          <w:rFonts w:ascii="Times New Roman" w:hAnsi="Times New Roman"/>
          <w:noProof/>
          <w:sz w:val="24"/>
          <w:szCs w:val="24"/>
          <w:lang w:val="en-IN" w:eastAsia="en-IN"/>
        </w:rPr>
        <w:drawing>
          <wp:inline distT="0" distB="0" distL="0" distR="0" wp14:anchorId="6E9D4D2F" wp14:editId="23A6FE96">
            <wp:extent cx="2653747" cy="1894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52240" cy="1893292"/>
                    </a:xfrm>
                    <a:prstGeom prst="rect">
                      <a:avLst/>
                    </a:prstGeom>
                  </pic:spPr>
                </pic:pic>
              </a:graphicData>
            </a:graphic>
          </wp:inline>
        </w:drawing>
      </w:r>
    </w:p>
    <w:p w:rsidR="002823CB" w:rsidRPr="00E12672" w:rsidRDefault="002823CB" w:rsidP="002823CB">
      <w:pPr>
        <w:pStyle w:val="ListParagraph"/>
        <w:numPr>
          <w:ilvl w:val="0"/>
          <w:numId w:val="4"/>
        </w:numPr>
        <w:spacing w:before="240" w:line="360" w:lineRule="auto"/>
        <w:ind w:left="567" w:right="720" w:hanging="567"/>
        <w:jc w:val="both"/>
        <w:rPr>
          <w:rFonts w:ascii="Times New Roman" w:hAnsi="Times New Roman"/>
          <w:b/>
          <w:sz w:val="24"/>
          <w:szCs w:val="24"/>
        </w:rPr>
      </w:pPr>
      <w:r w:rsidRPr="00E12672">
        <w:rPr>
          <w:rFonts w:ascii="Times New Roman" w:hAnsi="Times New Roman"/>
          <w:sz w:val="24"/>
          <w:szCs w:val="24"/>
        </w:rPr>
        <w:t>The Patentee has made the following admissions in the complete specification:</w:t>
      </w:r>
    </w:p>
    <w:p w:rsidR="002823CB" w:rsidRPr="00AD1559" w:rsidRDefault="002823CB" w:rsidP="002823CB">
      <w:pPr>
        <w:pStyle w:val="ListParagraph"/>
        <w:numPr>
          <w:ilvl w:val="1"/>
          <w:numId w:val="4"/>
        </w:numPr>
        <w:spacing w:after="0" w:line="360" w:lineRule="auto"/>
        <w:ind w:left="1134"/>
        <w:jc w:val="both"/>
        <w:rPr>
          <w:rFonts w:ascii="Times New Roman" w:hAnsi="Times New Roman"/>
          <w:b/>
          <w:sz w:val="24"/>
          <w:szCs w:val="24"/>
        </w:rPr>
      </w:pPr>
      <w:r>
        <w:rPr>
          <w:rFonts w:ascii="Times New Roman" w:hAnsi="Times New Roman"/>
          <w:sz w:val="24"/>
          <w:szCs w:val="24"/>
        </w:rPr>
        <w:t xml:space="preserve">That </w:t>
      </w:r>
      <w:r w:rsidRPr="004B555A">
        <w:rPr>
          <w:rFonts w:ascii="Times New Roman" w:hAnsi="Times New Roman"/>
          <w:sz w:val="24"/>
          <w:szCs w:val="24"/>
        </w:rPr>
        <w:t xml:space="preserve">the pharmaceutical composition disclosed </w:t>
      </w:r>
      <w:r>
        <w:rPr>
          <w:rFonts w:ascii="Times New Roman" w:hAnsi="Times New Roman"/>
          <w:sz w:val="24"/>
          <w:szCs w:val="24"/>
        </w:rPr>
        <w:t xml:space="preserve">in the complete specification </w:t>
      </w:r>
      <w:r w:rsidRPr="004B555A">
        <w:rPr>
          <w:rFonts w:ascii="Times New Roman" w:hAnsi="Times New Roman"/>
          <w:sz w:val="24"/>
          <w:szCs w:val="24"/>
        </w:rPr>
        <w:t xml:space="preserve">can be prepared in a manner known in the art, and refers to </w:t>
      </w:r>
      <w:r w:rsidRPr="004B555A">
        <w:rPr>
          <w:rFonts w:ascii="Times New Roman" w:hAnsi="Times New Roman"/>
          <w:b/>
          <w:sz w:val="24"/>
          <w:szCs w:val="24"/>
        </w:rPr>
        <w:t xml:space="preserve">WO 2006/116764, WO 2010/011814, WO 2010/068262, and WO 2010/068253. </w:t>
      </w:r>
      <w:r w:rsidRPr="004B555A">
        <w:rPr>
          <w:rFonts w:ascii="Times New Roman" w:hAnsi="Times New Roman"/>
          <w:sz w:val="24"/>
          <w:szCs w:val="24"/>
        </w:rPr>
        <w:t xml:space="preserve">(See complete specification of present patent at internal page 6, lines </w:t>
      </w:r>
      <w:r>
        <w:rPr>
          <w:rFonts w:ascii="Times New Roman" w:hAnsi="Times New Roman"/>
          <w:sz w:val="24"/>
          <w:szCs w:val="24"/>
        </w:rPr>
        <w:t>13-15</w:t>
      </w:r>
      <w:r w:rsidRPr="004B555A">
        <w:rPr>
          <w:rFonts w:ascii="Times New Roman" w:hAnsi="Times New Roman"/>
          <w:sz w:val="24"/>
          <w:szCs w:val="24"/>
        </w:rPr>
        <w:t>)</w:t>
      </w:r>
      <w:r>
        <w:rPr>
          <w:rFonts w:ascii="Times New Roman" w:hAnsi="Times New Roman"/>
          <w:sz w:val="24"/>
          <w:szCs w:val="24"/>
        </w:rPr>
        <w:t>;</w:t>
      </w:r>
    </w:p>
    <w:p w:rsidR="002823CB" w:rsidRPr="00AD1559" w:rsidRDefault="002823CB" w:rsidP="002823CB">
      <w:pPr>
        <w:pStyle w:val="ListParagraph"/>
        <w:numPr>
          <w:ilvl w:val="1"/>
          <w:numId w:val="4"/>
        </w:numPr>
        <w:spacing w:after="0" w:line="360" w:lineRule="auto"/>
        <w:ind w:left="1134"/>
        <w:jc w:val="both"/>
        <w:rPr>
          <w:rFonts w:ascii="Times New Roman" w:hAnsi="Times New Roman"/>
          <w:b/>
          <w:sz w:val="24"/>
          <w:szCs w:val="24"/>
        </w:rPr>
      </w:pPr>
      <w:r>
        <w:rPr>
          <w:rFonts w:ascii="Times New Roman" w:hAnsi="Times New Roman"/>
          <w:sz w:val="24"/>
          <w:szCs w:val="24"/>
        </w:rPr>
        <w:t>Sterilization technologies such as gamma irradiation, electron beam irradiation and autoclave sterilization are commonly known (see complete specification of the present patent, internal page 4, lines 33-35)</w:t>
      </w:r>
    </w:p>
    <w:p w:rsidR="002823CB" w:rsidRPr="00AD1559" w:rsidRDefault="002823CB" w:rsidP="002823CB">
      <w:pPr>
        <w:pStyle w:val="ListParagraph"/>
        <w:numPr>
          <w:ilvl w:val="1"/>
          <w:numId w:val="4"/>
        </w:numPr>
        <w:spacing w:after="0" w:line="360" w:lineRule="auto"/>
        <w:ind w:left="1134"/>
        <w:jc w:val="both"/>
        <w:rPr>
          <w:rFonts w:ascii="Times New Roman" w:hAnsi="Times New Roman"/>
          <w:b/>
          <w:sz w:val="24"/>
          <w:szCs w:val="24"/>
        </w:rPr>
      </w:pPr>
      <w:r>
        <w:rPr>
          <w:rFonts w:ascii="Times New Roman" w:hAnsi="Times New Roman"/>
          <w:sz w:val="24"/>
          <w:szCs w:val="24"/>
        </w:rPr>
        <w:t xml:space="preserve">That the invention of the present patent relates to </w:t>
      </w:r>
      <w:r w:rsidRPr="00AD1559">
        <w:rPr>
          <w:rFonts w:ascii="Times New Roman" w:hAnsi="Times New Roman"/>
          <w:b/>
          <w:sz w:val="24"/>
          <w:szCs w:val="24"/>
        </w:rPr>
        <w:t>method of administrating</w:t>
      </w:r>
      <w:r>
        <w:rPr>
          <w:rFonts w:ascii="Times New Roman" w:hAnsi="Times New Roman"/>
          <w:sz w:val="24"/>
          <w:szCs w:val="24"/>
        </w:rPr>
        <w:t xml:space="preserve"> the claimed composition according to the invention (see complete specification at internal page 6, lines 3-5);</w:t>
      </w:r>
    </w:p>
    <w:p w:rsidR="002823CB" w:rsidRPr="008A1AA9" w:rsidRDefault="002823CB" w:rsidP="002823CB">
      <w:pPr>
        <w:pStyle w:val="ListParagraph"/>
        <w:numPr>
          <w:ilvl w:val="1"/>
          <w:numId w:val="4"/>
        </w:numPr>
        <w:spacing w:after="0" w:line="360" w:lineRule="auto"/>
        <w:ind w:left="1134"/>
        <w:jc w:val="both"/>
        <w:rPr>
          <w:rFonts w:ascii="Times New Roman" w:hAnsi="Times New Roman"/>
          <w:b/>
          <w:sz w:val="24"/>
          <w:szCs w:val="24"/>
        </w:rPr>
      </w:pPr>
      <w:r>
        <w:rPr>
          <w:rFonts w:ascii="Times New Roman" w:hAnsi="Times New Roman"/>
          <w:sz w:val="24"/>
          <w:szCs w:val="24"/>
        </w:rPr>
        <w:t xml:space="preserve">That the invention of the present patent features </w:t>
      </w:r>
      <w:r w:rsidRPr="00AD1559">
        <w:rPr>
          <w:rFonts w:ascii="Times New Roman" w:hAnsi="Times New Roman"/>
          <w:b/>
          <w:sz w:val="24"/>
          <w:szCs w:val="24"/>
        </w:rPr>
        <w:t>method for treating or preventing HIV infections</w:t>
      </w:r>
      <w:r>
        <w:rPr>
          <w:rFonts w:ascii="Times New Roman" w:hAnsi="Times New Roman"/>
          <w:sz w:val="24"/>
          <w:szCs w:val="24"/>
        </w:rPr>
        <w:t xml:space="preserve"> in a human which method comprises administering to said human a composition according to the invention (see complete specification, internal page 6, lines 9-12)</w:t>
      </w:r>
    </w:p>
    <w:p w:rsidR="002823CB" w:rsidRDefault="002823CB" w:rsidP="002823CB">
      <w:pPr>
        <w:spacing w:after="0" w:line="360" w:lineRule="auto"/>
        <w:jc w:val="both"/>
        <w:rPr>
          <w:rFonts w:ascii="Times New Roman" w:hAnsi="Times New Roman"/>
          <w:b/>
          <w:sz w:val="24"/>
          <w:szCs w:val="24"/>
        </w:rPr>
      </w:pPr>
    </w:p>
    <w:p w:rsidR="002823CB" w:rsidRDefault="002823CB" w:rsidP="002823CB">
      <w:pPr>
        <w:spacing w:after="0" w:line="360" w:lineRule="auto"/>
        <w:jc w:val="both"/>
        <w:rPr>
          <w:rFonts w:ascii="Times New Roman" w:hAnsi="Times New Roman"/>
          <w:b/>
          <w:sz w:val="24"/>
          <w:szCs w:val="24"/>
        </w:rPr>
      </w:pPr>
    </w:p>
    <w:p w:rsidR="002823CB" w:rsidRPr="008A1AA9" w:rsidRDefault="002823CB" w:rsidP="002823CB">
      <w:pPr>
        <w:spacing w:after="0" w:line="360" w:lineRule="auto"/>
        <w:jc w:val="both"/>
        <w:rPr>
          <w:rFonts w:ascii="Times New Roman" w:hAnsi="Times New Roman"/>
          <w:b/>
          <w:sz w:val="24"/>
          <w:szCs w:val="24"/>
        </w:rPr>
      </w:pPr>
    </w:p>
    <w:p w:rsidR="002823CB" w:rsidRPr="00E12672" w:rsidRDefault="002823CB" w:rsidP="002823CB">
      <w:pPr>
        <w:pStyle w:val="ListParagraph"/>
        <w:spacing w:before="240" w:line="360" w:lineRule="auto"/>
        <w:ind w:left="1134"/>
        <w:jc w:val="both"/>
        <w:rPr>
          <w:rFonts w:ascii="Times New Roman" w:hAnsi="Times New Roman"/>
          <w:b/>
          <w:sz w:val="24"/>
          <w:szCs w:val="24"/>
        </w:rPr>
      </w:pPr>
    </w:p>
    <w:p w:rsidR="002823CB" w:rsidRPr="00E12672" w:rsidRDefault="002823CB" w:rsidP="002823CB">
      <w:pPr>
        <w:pStyle w:val="ListParagraph"/>
        <w:numPr>
          <w:ilvl w:val="0"/>
          <w:numId w:val="1"/>
        </w:numPr>
        <w:spacing w:before="240" w:line="360" w:lineRule="auto"/>
        <w:ind w:left="567" w:right="720" w:hanging="567"/>
        <w:jc w:val="both"/>
        <w:rPr>
          <w:rFonts w:ascii="Times New Roman" w:hAnsi="Times New Roman"/>
          <w:b/>
          <w:sz w:val="24"/>
          <w:szCs w:val="24"/>
        </w:rPr>
      </w:pPr>
      <w:r w:rsidRPr="00E12672">
        <w:rPr>
          <w:rFonts w:ascii="Times New Roman" w:hAnsi="Times New Roman"/>
          <w:b/>
          <w:sz w:val="24"/>
          <w:szCs w:val="24"/>
        </w:rPr>
        <w:lastRenderedPageBreak/>
        <w:t xml:space="preserve">THE CLAIMS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11 claims were granted under the present patent. The 11 claims as granted are reproduced below:</w:t>
      </w:r>
    </w:p>
    <w:p w:rsidR="002823CB" w:rsidRPr="00E12672" w:rsidRDefault="002823CB" w:rsidP="002823CB">
      <w:pPr>
        <w:pStyle w:val="ListParagraph"/>
        <w:spacing w:before="240" w:line="360" w:lineRule="auto"/>
        <w:jc w:val="both"/>
        <w:rPr>
          <w:rFonts w:ascii="Times New Roman" w:hAnsi="Times New Roman"/>
          <w:sz w:val="24"/>
          <w:szCs w:val="24"/>
        </w:rPr>
      </w:pPr>
      <w:r w:rsidRPr="00E12672">
        <w:rPr>
          <w:rFonts w:ascii="Times New Roman" w:hAnsi="Times New Roman"/>
          <w:b/>
          <w:sz w:val="24"/>
          <w:szCs w:val="24"/>
        </w:rPr>
        <w:t>Claim 1</w:t>
      </w:r>
      <w:r w:rsidRPr="00E12672">
        <w:rPr>
          <w:rFonts w:ascii="Times New Roman" w:hAnsi="Times New Roman"/>
          <w:sz w:val="24"/>
          <w:szCs w:val="24"/>
        </w:rPr>
        <w:t>: A parenteral pharmaceutical composition comprising a compound of formula (I)</w:t>
      </w:r>
    </w:p>
    <w:p w:rsidR="002823CB" w:rsidRPr="00E12672" w:rsidRDefault="002823CB" w:rsidP="002823CB">
      <w:pPr>
        <w:pStyle w:val="ListParagraph"/>
        <w:spacing w:before="240" w:line="360" w:lineRule="auto"/>
        <w:ind w:right="720"/>
        <w:jc w:val="both"/>
        <w:rPr>
          <w:rFonts w:ascii="Times New Roman" w:hAnsi="Times New Roman"/>
          <w:sz w:val="24"/>
          <w:szCs w:val="24"/>
        </w:rPr>
      </w:pPr>
      <w:r w:rsidRPr="00E12672">
        <w:rPr>
          <w:rFonts w:ascii="Times New Roman" w:hAnsi="Times New Roman"/>
          <w:noProof/>
          <w:sz w:val="24"/>
          <w:szCs w:val="24"/>
          <w:lang w:val="en-IN" w:eastAsia="en-IN"/>
        </w:rPr>
        <w:drawing>
          <wp:inline distT="0" distB="0" distL="0" distR="0" wp14:anchorId="5FBE9276" wp14:editId="2D05B58D">
            <wp:extent cx="2335696" cy="171876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35325" cy="1718494"/>
                    </a:xfrm>
                    <a:prstGeom prst="rect">
                      <a:avLst/>
                    </a:prstGeom>
                  </pic:spPr>
                </pic:pic>
              </a:graphicData>
            </a:graphic>
          </wp:inline>
        </w:drawing>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sz w:val="24"/>
          <w:szCs w:val="24"/>
        </w:rPr>
        <w:t xml:space="preserve"> </w:t>
      </w:r>
      <w:proofErr w:type="gramStart"/>
      <w:r w:rsidRPr="00E12672">
        <w:rPr>
          <w:rFonts w:ascii="Times New Roman" w:hAnsi="Times New Roman"/>
          <w:sz w:val="24"/>
          <w:szCs w:val="24"/>
        </w:rPr>
        <w:t>or</w:t>
      </w:r>
      <w:proofErr w:type="gramEnd"/>
      <w:r w:rsidRPr="00E12672">
        <w:rPr>
          <w:rFonts w:ascii="Times New Roman" w:hAnsi="Times New Roman"/>
          <w:sz w:val="24"/>
          <w:szCs w:val="24"/>
        </w:rPr>
        <w:t xml:space="preserve"> a pharmaceutically acceptable salt thereof, and a surfactant system comprising a polysorbate and polyethylene glycol. </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t>Claim 2:</w:t>
      </w:r>
      <w:r w:rsidRPr="00E12672">
        <w:rPr>
          <w:rFonts w:ascii="Times New Roman" w:hAnsi="Times New Roman"/>
          <w:sz w:val="24"/>
          <w:szCs w:val="24"/>
        </w:rPr>
        <w:t xml:space="preserve"> A pharmaceutical composition as claimed in claim 1 for subcutaneous administration. </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t>Claim 3:</w:t>
      </w:r>
      <w:r w:rsidRPr="00E12672">
        <w:rPr>
          <w:rFonts w:ascii="Times New Roman" w:hAnsi="Times New Roman"/>
          <w:sz w:val="24"/>
          <w:szCs w:val="24"/>
        </w:rPr>
        <w:t xml:space="preserve"> A pharmaceutical composition as claimed in claim 1 for intramuscular administration. </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t>Claim 4:</w:t>
      </w:r>
      <w:r w:rsidRPr="00E12672">
        <w:rPr>
          <w:rFonts w:ascii="Times New Roman" w:hAnsi="Times New Roman"/>
          <w:sz w:val="24"/>
          <w:szCs w:val="24"/>
        </w:rPr>
        <w:t xml:space="preserve"> A pharmaceutical composition as claimed in any of claims 1-3 for once per month administration. </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t>Claim 5:</w:t>
      </w:r>
      <w:r w:rsidRPr="00E12672">
        <w:rPr>
          <w:rFonts w:ascii="Times New Roman" w:hAnsi="Times New Roman"/>
          <w:sz w:val="24"/>
          <w:szCs w:val="24"/>
        </w:rPr>
        <w:t xml:space="preserve"> A pharmaceutical composition as claimed in any of claims 1-3 for administration once every two months.</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t>Claim 6:</w:t>
      </w:r>
      <w:r w:rsidRPr="00E12672">
        <w:rPr>
          <w:rFonts w:ascii="Times New Roman" w:hAnsi="Times New Roman"/>
          <w:sz w:val="24"/>
          <w:szCs w:val="24"/>
        </w:rPr>
        <w:t xml:space="preserve"> A pharmaceutical composition as claimed in any of claims 1-3 for administration once every three months.</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t>Claim 7:</w:t>
      </w:r>
      <w:r w:rsidRPr="00E12672">
        <w:rPr>
          <w:rFonts w:ascii="Times New Roman" w:hAnsi="Times New Roman"/>
          <w:sz w:val="24"/>
          <w:szCs w:val="24"/>
        </w:rPr>
        <w:t xml:space="preserve"> A pharmaceutical composition as claimed in any of claims 1-3 for administration at any interval between 30 and 365 days. </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t>Claim 8:</w:t>
      </w:r>
      <w:r w:rsidRPr="00E12672">
        <w:rPr>
          <w:rFonts w:ascii="Times New Roman" w:hAnsi="Times New Roman"/>
          <w:sz w:val="24"/>
          <w:szCs w:val="24"/>
        </w:rPr>
        <w:t xml:space="preserve"> A pharmaceutical composition as claimed in any of claims 1-7 wherein the amount of a compound of formula (I) is from 10mg to 500 mg per ml of the dosage form. </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t>Claim 9:</w:t>
      </w:r>
      <w:r w:rsidRPr="00E12672">
        <w:rPr>
          <w:rFonts w:ascii="Times New Roman" w:hAnsi="Times New Roman"/>
          <w:sz w:val="24"/>
          <w:szCs w:val="24"/>
        </w:rPr>
        <w:t xml:space="preserve"> A pharmaceutical composition as claimed in any of claims 1-8 wherein the particle size is less than or equal to 200nm. </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lastRenderedPageBreak/>
        <w:t>Claim 10:</w:t>
      </w:r>
      <w:r w:rsidRPr="00E12672">
        <w:rPr>
          <w:rFonts w:ascii="Times New Roman" w:hAnsi="Times New Roman"/>
          <w:sz w:val="24"/>
          <w:szCs w:val="24"/>
        </w:rPr>
        <w:t xml:space="preserve"> A pharmaceutical composition as claimed in any of claims 1-8 wherein the particle size is in the range of 0.1-0.5 µm. </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b/>
          <w:sz w:val="24"/>
          <w:szCs w:val="24"/>
        </w:rPr>
        <w:t>Claim 11:</w:t>
      </w:r>
      <w:r w:rsidRPr="00E12672">
        <w:rPr>
          <w:rFonts w:ascii="Times New Roman" w:hAnsi="Times New Roman"/>
          <w:sz w:val="24"/>
          <w:szCs w:val="24"/>
        </w:rPr>
        <w:t xml:space="preserve"> A pharmaceutical composition as claimed in any of claims 1-10 that can be terminally sterilized by gamma irradiation. </w:t>
      </w:r>
    </w:p>
    <w:p w:rsidR="002823CB" w:rsidRPr="00E12672" w:rsidRDefault="002823CB" w:rsidP="002823CB">
      <w:pPr>
        <w:pStyle w:val="ListParagraph"/>
        <w:spacing w:before="240" w:line="360" w:lineRule="auto"/>
        <w:ind w:right="720"/>
        <w:jc w:val="both"/>
        <w:rPr>
          <w:rFonts w:ascii="Times New Roman" w:hAnsi="Times New Roman"/>
          <w:sz w:val="24"/>
          <w:szCs w:val="24"/>
        </w:rPr>
      </w:pPr>
    </w:p>
    <w:p w:rsidR="002823CB" w:rsidRPr="00E12672" w:rsidRDefault="002823CB" w:rsidP="002823CB">
      <w:pPr>
        <w:pStyle w:val="ListParagraph"/>
        <w:spacing w:before="240" w:line="360" w:lineRule="auto"/>
        <w:ind w:right="720"/>
        <w:jc w:val="both"/>
        <w:rPr>
          <w:rFonts w:ascii="Times New Roman" w:hAnsi="Times New Roman"/>
          <w:sz w:val="24"/>
          <w:szCs w:val="24"/>
        </w:rPr>
      </w:pPr>
    </w:p>
    <w:p w:rsidR="002823CB" w:rsidRPr="008A1AA9" w:rsidRDefault="002823CB" w:rsidP="002823CB">
      <w:pPr>
        <w:pStyle w:val="ListParagraph"/>
        <w:numPr>
          <w:ilvl w:val="0"/>
          <w:numId w:val="1"/>
        </w:numPr>
        <w:spacing w:before="240" w:line="360" w:lineRule="auto"/>
        <w:ind w:left="567" w:right="720" w:hanging="567"/>
        <w:jc w:val="both"/>
        <w:rPr>
          <w:rFonts w:ascii="Times New Roman" w:hAnsi="Times New Roman"/>
          <w:sz w:val="24"/>
          <w:szCs w:val="24"/>
        </w:rPr>
      </w:pPr>
      <w:r w:rsidRPr="00E12672">
        <w:rPr>
          <w:rFonts w:ascii="Times New Roman" w:hAnsi="Times New Roman"/>
          <w:b/>
          <w:sz w:val="24"/>
          <w:szCs w:val="24"/>
        </w:rPr>
        <w:t>SUMMARY OF GROUNDS OF OPPOSITION</w:t>
      </w:r>
    </w:p>
    <w:p w:rsidR="002823CB" w:rsidRPr="00E12672" w:rsidRDefault="002823CB" w:rsidP="002823CB">
      <w:pPr>
        <w:pStyle w:val="ListParagraph"/>
        <w:spacing w:before="240" w:line="360" w:lineRule="auto"/>
        <w:ind w:left="567" w:right="720"/>
        <w:jc w:val="both"/>
        <w:rPr>
          <w:rFonts w:ascii="Times New Roman" w:hAnsi="Times New Roman"/>
          <w:sz w:val="24"/>
          <w:szCs w:val="24"/>
        </w:rPr>
      </w:pP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The Opponent brings this opposition under the following grounds, amongst others, each of which are without prejudice to one another:-</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Claims 1-11 of the present patent lack inventive step, and therefore fail under Sections 2(1</w:t>
      </w:r>
      <w:proofErr w:type="gramStart"/>
      <w:r w:rsidRPr="00E12672">
        <w:rPr>
          <w:rFonts w:ascii="Times New Roman" w:hAnsi="Times New Roman"/>
          <w:sz w:val="24"/>
          <w:szCs w:val="24"/>
        </w:rPr>
        <w:t>)(</w:t>
      </w:r>
      <w:proofErr w:type="gramEnd"/>
      <w:r w:rsidRPr="00E12672">
        <w:rPr>
          <w:rFonts w:ascii="Times New Roman" w:hAnsi="Times New Roman"/>
          <w:sz w:val="24"/>
          <w:szCs w:val="24"/>
        </w:rPr>
        <w:t xml:space="preserve">j) and 2(1)(ja) of the Patents Act. Therefore, the Opponent brings this Opposition under </w:t>
      </w:r>
      <w:r w:rsidRPr="00E12672">
        <w:rPr>
          <w:rFonts w:ascii="Times New Roman" w:hAnsi="Times New Roman"/>
          <w:b/>
          <w:sz w:val="24"/>
          <w:szCs w:val="24"/>
        </w:rPr>
        <w:t>Section 25(2)(e)</w:t>
      </w:r>
      <w:r w:rsidRPr="00E12672">
        <w:rPr>
          <w:rFonts w:ascii="Times New Roman" w:hAnsi="Times New Roman"/>
          <w:sz w:val="24"/>
          <w:szCs w:val="24"/>
        </w:rPr>
        <w:t xml:space="preserve">- that the invention so far as claimed in any claim of the complete specification is obvious and clearly does not involve any inventive step, having regard to the matter published before the priority date in India or elsewhere in any document, or in any specification filed in pursuance of an application for a patent made in India; </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 xml:space="preserve">Claims 1-11 of the present patent do not satisfy the test of Section 3(d) of the Patents Act as the subject matter does not exhibit any enhanced therapeutic efficacy over the known compound. Therefore, the Opponent brings this Opposition under </w:t>
      </w:r>
      <w:r w:rsidRPr="00E12672">
        <w:rPr>
          <w:rFonts w:ascii="Times New Roman" w:hAnsi="Times New Roman"/>
          <w:b/>
          <w:sz w:val="24"/>
          <w:szCs w:val="24"/>
        </w:rPr>
        <w:t>Section 25(2)(f)</w:t>
      </w:r>
      <w:r w:rsidRPr="00E12672">
        <w:rPr>
          <w:rFonts w:ascii="Times New Roman" w:hAnsi="Times New Roman"/>
          <w:sz w:val="24"/>
          <w:szCs w:val="24"/>
        </w:rPr>
        <w:t xml:space="preserve">- that the subject of any claim of the complete specification is not an invention within the meaning of this Act; </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 xml:space="preserve">Claims 1-11 of the present patent do not satisfy the test of Section 3(e) of the Patent Act as the subject matter does not exhibit any synergistic effect. Therefore the Opponent brings this opposition under </w:t>
      </w:r>
      <w:r w:rsidRPr="00E12672">
        <w:rPr>
          <w:rFonts w:ascii="Times New Roman" w:hAnsi="Times New Roman"/>
          <w:b/>
          <w:sz w:val="24"/>
          <w:szCs w:val="24"/>
        </w:rPr>
        <w:t>Section 25(2)(f</w:t>
      </w:r>
      <w:r w:rsidRPr="00E12672">
        <w:rPr>
          <w:rFonts w:ascii="Times New Roman" w:hAnsi="Times New Roman"/>
          <w:sz w:val="24"/>
          <w:szCs w:val="24"/>
        </w:rPr>
        <w:t xml:space="preserve">) - that the subject of any claim of the complete specification is not an invention within the meaning of this Act; </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Claims 1-11 of the present patent do not satisfy the test of Section 3(i) of the Patent Act as the subject matter is a process for the medi</w:t>
      </w:r>
      <w:r>
        <w:rPr>
          <w:rFonts w:ascii="Times New Roman" w:hAnsi="Times New Roman"/>
          <w:sz w:val="24"/>
          <w:szCs w:val="24"/>
        </w:rPr>
        <w:t xml:space="preserve">cinal, </w:t>
      </w:r>
      <w:r>
        <w:rPr>
          <w:rFonts w:ascii="Times New Roman" w:hAnsi="Times New Roman"/>
          <w:sz w:val="24"/>
          <w:szCs w:val="24"/>
        </w:rPr>
        <w:lastRenderedPageBreak/>
        <w:t xml:space="preserve">diagnostic, therapeutic </w:t>
      </w:r>
      <w:r w:rsidRPr="00E12672">
        <w:rPr>
          <w:rFonts w:ascii="Times New Roman" w:hAnsi="Times New Roman"/>
          <w:sz w:val="24"/>
          <w:szCs w:val="24"/>
        </w:rPr>
        <w:t xml:space="preserve">treatment for human beings to render them free of disease. Therefore the Opponent brings this opposition under </w:t>
      </w:r>
      <w:r w:rsidRPr="00E12672">
        <w:rPr>
          <w:rFonts w:ascii="Times New Roman" w:hAnsi="Times New Roman"/>
          <w:b/>
          <w:sz w:val="24"/>
          <w:szCs w:val="24"/>
        </w:rPr>
        <w:t>Section 25(2</w:t>
      </w:r>
      <w:proofErr w:type="gramStart"/>
      <w:r w:rsidRPr="00E12672">
        <w:rPr>
          <w:rFonts w:ascii="Times New Roman" w:hAnsi="Times New Roman"/>
          <w:b/>
          <w:sz w:val="24"/>
          <w:szCs w:val="24"/>
        </w:rPr>
        <w:t>)(</w:t>
      </w:r>
      <w:proofErr w:type="gramEnd"/>
      <w:r w:rsidRPr="00E12672">
        <w:rPr>
          <w:rFonts w:ascii="Times New Roman" w:hAnsi="Times New Roman"/>
          <w:b/>
          <w:sz w:val="24"/>
          <w:szCs w:val="24"/>
        </w:rPr>
        <w:t>f</w:t>
      </w:r>
      <w:r w:rsidRPr="00E12672">
        <w:rPr>
          <w:rFonts w:ascii="Times New Roman" w:hAnsi="Times New Roman"/>
          <w:sz w:val="24"/>
          <w:szCs w:val="24"/>
        </w:rPr>
        <w:t xml:space="preserve">) - that the subject of any claim of the complete specification is not an invention within the meaning of this Act. </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 xml:space="preserve">The invention of claims 1-11 of the present patent has not been clearly described in the complete specification. Therefore, the Opponent brings this Opposition under </w:t>
      </w:r>
      <w:r w:rsidRPr="00E12672">
        <w:rPr>
          <w:rFonts w:ascii="Times New Roman" w:hAnsi="Times New Roman"/>
          <w:b/>
          <w:sz w:val="24"/>
          <w:szCs w:val="24"/>
        </w:rPr>
        <w:t xml:space="preserve">Section 25(2)(g) </w:t>
      </w:r>
      <w:r w:rsidRPr="00E12672">
        <w:rPr>
          <w:rFonts w:ascii="Times New Roman" w:hAnsi="Times New Roman"/>
          <w:sz w:val="24"/>
          <w:szCs w:val="24"/>
        </w:rPr>
        <w:t xml:space="preserve">- that the complete specification does not sufficiently and clearly describe the invention or the method by which it is to be performed; </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 xml:space="preserve">The Patentee has also failed to comply with the requirements of Section 8 of the Patents Act. Therefore, the Opponent brings this opposition under </w:t>
      </w:r>
      <w:r w:rsidRPr="00E12672">
        <w:rPr>
          <w:rFonts w:ascii="Times New Roman" w:hAnsi="Times New Roman"/>
          <w:b/>
          <w:sz w:val="24"/>
          <w:szCs w:val="24"/>
        </w:rPr>
        <w:t>Section 25(2</w:t>
      </w:r>
      <w:proofErr w:type="gramStart"/>
      <w:r w:rsidRPr="00E12672">
        <w:rPr>
          <w:rFonts w:ascii="Times New Roman" w:hAnsi="Times New Roman"/>
          <w:b/>
          <w:sz w:val="24"/>
          <w:szCs w:val="24"/>
        </w:rPr>
        <w:t>)(</w:t>
      </w:r>
      <w:proofErr w:type="gramEnd"/>
      <w:r w:rsidRPr="00E12672">
        <w:rPr>
          <w:rFonts w:ascii="Times New Roman" w:hAnsi="Times New Roman"/>
          <w:b/>
          <w:sz w:val="24"/>
          <w:szCs w:val="24"/>
        </w:rPr>
        <w:t>h)</w:t>
      </w:r>
      <w:r w:rsidRPr="00E12672">
        <w:rPr>
          <w:rFonts w:ascii="Times New Roman" w:hAnsi="Times New Roman"/>
          <w:sz w:val="24"/>
          <w:szCs w:val="24"/>
        </w:rPr>
        <w:t xml:space="preserve"> of the Act- that the patentee has failed to disclose to the Controller the information required by Section 8. </w:t>
      </w:r>
    </w:p>
    <w:p w:rsidR="002823CB" w:rsidRPr="00E12672" w:rsidRDefault="002823CB" w:rsidP="002823CB">
      <w:pPr>
        <w:pStyle w:val="ListParagraph"/>
        <w:spacing w:before="240" w:line="360" w:lineRule="auto"/>
        <w:ind w:right="720"/>
        <w:jc w:val="both"/>
        <w:rPr>
          <w:rFonts w:ascii="Times New Roman" w:hAnsi="Times New Roman"/>
          <w:b/>
          <w:sz w:val="24"/>
          <w:szCs w:val="24"/>
        </w:rPr>
      </w:pPr>
    </w:p>
    <w:p w:rsidR="002823CB" w:rsidRPr="00E12672" w:rsidRDefault="002823CB" w:rsidP="002823CB">
      <w:pPr>
        <w:pStyle w:val="ListParagraph"/>
        <w:numPr>
          <w:ilvl w:val="0"/>
          <w:numId w:val="1"/>
        </w:numPr>
        <w:spacing w:before="240" w:line="360" w:lineRule="auto"/>
        <w:ind w:left="567" w:right="720" w:hanging="567"/>
        <w:jc w:val="both"/>
        <w:rPr>
          <w:rFonts w:ascii="Times New Roman" w:hAnsi="Times New Roman"/>
          <w:smallCaps/>
          <w:sz w:val="24"/>
          <w:szCs w:val="24"/>
        </w:rPr>
      </w:pPr>
      <w:r w:rsidRPr="00E12672">
        <w:rPr>
          <w:rFonts w:ascii="Times New Roman" w:hAnsi="Times New Roman"/>
          <w:b/>
          <w:smallCaps/>
          <w:sz w:val="24"/>
          <w:szCs w:val="24"/>
        </w:rPr>
        <w:t>Detailed Grounds of Opposition</w:t>
      </w:r>
    </w:p>
    <w:p w:rsidR="002823CB" w:rsidRPr="00E12672" w:rsidRDefault="002823CB" w:rsidP="002823CB">
      <w:pPr>
        <w:pStyle w:val="ListParagraph"/>
        <w:spacing w:before="240" w:line="360" w:lineRule="auto"/>
        <w:ind w:left="567"/>
        <w:jc w:val="both"/>
        <w:rPr>
          <w:rFonts w:ascii="Times New Roman" w:hAnsi="Times New Roman"/>
          <w:b/>
          <w:sz w:val="24"/>
          <w:szCs w:val="24"/>
        </w:rPr>
      </w:pPr>
    </w:p>
    <w:p w:rsidR="002823CB" w:rsidRPr="008A1AA9" w:rsidRDefault="002823CB" w:rsidP="002823CB">
      <w:pPr>
        <w:pStyle w:val="ListParagraph"/>
        <w:numPr>
          <w:ilvl w:val="0"/>
          <w:numId w:val="20"/>
        </w:numPr>
        <w:spacing w:before="240" w:line="360" w:lineRule="auto"/>
        <w:ind w:left="567" w:hanging="567"/>
        <w:jc w:val="both"/>
        <w:rPr>
          <w:rFonts w:ascii="Times New Roman" w:hAnsi="Times New Roman"/>
          <w:sz w:val="24"/>
          <w:szCs w:val="24"/>
        </w:rPr>
      </w:pPr>
      <w:r w:rsidRPr="00E12672">
        <w:rPr>
          <w:rFonts w:ascii="Times New Roman" w:hAnsi="Times New Roman"/>
          <w:b/>
          <w:smallCaps/>
          <w:sz w:val="24"/>
          <w:szCs w:val="24"/>
        </w:rPr>
        <w:t>Claims 1 to 11 are obvious, do not involve a technical advance, and lack inventive step as defined under section 2(1)(</w:t>
      </w:r>
      <w:r w:rsidRPr="00E12672">
        <w:rPr>
          <w:rFonts w:ascii="Times New Roman" w:hAnsi="Times New Roman"/>
          <w:b/>
          <w:sz w:val="24"/>
          <w:szCs w:val="24"/>
        </w:rPr>
        <w:t>ja</w:t>
      </w:r>
      <w:r w:rsidRPr="00E12672">
        <w:rPr>
          <w:rFonts w:ascii="Times New Roman" w:hAnsi="Times New Roman"/>
          <w:b/>
          <w:smallCaps/>
          <w:sz w:val="24"/>
          <w:szCs w:val="24"/>
        </w:rPr>
        <w:t>) and should be rejected under section 25(2)(</w:t>
      </w:r>
      <w:r w:rsidRPr="00E12672">
        <w:rPr>
          <w:rFonts w:ascii="Times New Roman" w:hAnsi="Times New Roman"/>
          <w:b/>
          <w:sz w:val="24"/>
          <w:szCs w:val="24"/>
        </w:rPr>
        <w:t>e</w:t>
      </w:r>
      <w:r w:rsidRPr="00E12672">
        <w:rPr>
          <w:rFonts w:ascii="Times New Roman" w:hAnsi="Times New Roman"/>
          <w:b/>
          <w:smallCaps/>
          <w:sz w:val="24"/>
          <w:szCs w:val="24"/>
        </w:rPr>
        <w:t>) of the Patents Act</w:t>
      </w:r>
    </w:p>
    <w:p w:rsidR="002823CB" w:rsidRPr="00E12672" w:rsidRDefault="002823CB" w:rsidP="002823CB">
      <w:pPr>
        <w:pStyle w:val="ListParagraph"/>
        <w:spacing w:before="240" w:line="360" w:lineRule="auto"/>
        <w:ind w:left="567"/>
        <w:jc w:val="both"/>
        <w:rPr>
          <w:rFonts w:ascii="Times New Roman" w:hAnsi="Times New Roman"/>
          <w:sz w:val="24"/>
          <w:szCs w:val="24"/>
        </w:rPr>
      </w:pP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Section 2(1</w:t>
      </w:r>
      <w:proofErr w:type="gramStart"/>
      <w:r w:rsidRPr="00E12672">
        <w:rPr>
          <w:rFonts w:ascii="Times New Roman" w:hAnsi="Times New Roman"/>
          <w:sz w:val="24"/>
          <w:szCs w:val="24"/>
        </w:rPr>
        <w:t>)(</w:t>
      </w:r>
      <w:proofErr w:type="gramEnd"/>
      <w:r w:rsidRPr="00E12672">
        <w:rPr>
          <w:rFonts w:ascii="Times New Roman" w:hAnsi="Times New Roman"/>
          <w:sz w:val="24"/>
          <w:szCs w:val="24"/>
        </w:rPr>
        <w:t xml:space="preserve">j) defines an “invention” as </w:t>
      </w:r>
      <w:r w:rsidRPr="00E12672">
        <w:rPr>
          <w:rFonts w:ascii="Times New Roman" w:hAnsi="Times New Roman"/>
          <w:i/>
          <w:sz w:val="24"/>
          <w:szCs w:val="24"/>
        </w:rPr>
        <w:t>“a new product or process involving an inventive step and capable of industrial application.”</w:t>
      </w:r>
      <w:r w:rsidRPr="00E12672">
        <w:rPr>
          <w:rFonts w:ascii="Times New Roman" w:hAnsi="Times New Roman"/>
          <w:sz w:val="24"/>
          <w:szCs w:val="24"/>
        </w:rPr>
        <w:t xml:space="preserve"> For an alleged invention to qualify for a patent, it must satisfy the criteria of inventive step. Section 2(1)(ja) of the Patents Act defines an inventive step as “</w:t>
      </w:r>
      <w:r w:rsidRPr="00E12672">
        <w:rPr>
          <w:rFonts w:ascii="Times New Roman" w:hAnsi="Times New Roman"/>
          <w:i/>
          <w:sz w:val="24"/>
          <w:szCs w:val="24"/>
        </w:rPr>
        <w:t xml:space="preserve">a feature of an invention that involves technical advance as compared to the existing knowledge… and that makes the invention not obvious to a person skilled in the art”.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 xml:space="preserve">Sub- sections (j) and (ja) of Section 2(1) of the Patents Act thus requires the feature of the alleged invention to have a technical advance that it is not </w:t>
      </w:r>
      <w:r w:rsidRPr="00E12672">
        <w:rPr>
          <w:rFonts w:ascii="Times New Roman" w:hAnsi="Times New Roman"/>
          <w:sz w:val="24"/>
          <w:szCs w:val="24"/>
        </w:rPr>
        <w:lastRenderedPageBreak/>
        <w:t xml:space="preserve">obvious to a person skilled in the art. These requirements ensure that patent, which results in a monopoly, is granted only to genuine inventions.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Section 25(2)(e) of the Patents Act provides that a patent may be opposed if the invention claimed is obvious and does not involve any inventive step having regard to matter published, as described in Section 25(2)(b) of the Patents Act. Section 25(2</w:t>
      </w:r>
      <w:proofErr w:type="gramStart"/>
      <w:r w:rsidRPr="00E12672">
        <w:rPr>
          <w:rFonts w:ascii="Times New Roman" w:hAnsi="Times New Roman"/>
          <w:sz w:val="24"/>
          <w:szCs w:val="24"/>
        </w:rPr>
        <w:t>)(</w:t>
      </w:r>
      <w:proofErr w:type="gramEnd"/>
      <w:r w:rsidRPr="00E12672">
        <w:rPr>
          <w:rFonts w:ascii="Times New Roman" w:hAnsi="Times New Roman"/>
          <w:sz w:val="24"/>
          <w:szCs w:val="24"/>
        </w:rPr>
        <w:t>b) sets out that such published matter includes matter published in India or elsewhere in any document before the priority date of the</w:t>
      </w:r>
      <w:r>
        <w:rPr>
          <w:rFonts w:ascii="Times New Roman" w:hAnsi="Times New Roman"/>
          <w:sz w:val="24"/>
          <w:szCs w:val="24"/>
        </w:rPr>
        <w:t xml:space="preserve"> </w:t>
      </w:r>
      <w:r w:rsidRPr="00E12672">
        <w:rPr>
          <w:rFonts w:ascii="Times New Roman" w:hAnsi="Times New Roman"/>
          <w:sz w:val="24"/>
          <w:szCs w:val="24"/>
        </w:rPr>
        <w:t xml:space="preserve">claims.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Pr>
          <w:rFonts w:ascii="Times New Roman" w:hAnsi="Times New Roman"/>
          <w:sz w:val="24"/>
          <w:szCs w:val="24"/>
        </w:rPr>
        <w:t>T</w:t>
      </w:r>
      <w:r w:rsidRPr="00E12672">
        <w:rPr>
          <w:rFonts w:ascii="Times New Roman" w:hAnsi="Times New Roman"/>
          <w:sz w:val="24"/>
          <w:szCs w:val="24"/>
        </w:rPr>
        <w:t xml:space="preserve">he Opponent submits that claims 1-11 of the present patent lack an inventive step </w:t>
      </w:r>
      <w:r>
        <w:rPr>
          <w:rFonts w:ascii="Times New Roman" w:hAnsi="Times New Roman"/>
          <w:sz w:val="24"/>
          <w:szCs w:val="24"/>
        </w:rPr>
        <w:t>and therefore should be revoked</w:t>
      </w:r>
      <w:r w:rsidRPr="00E12672">
        <w:rPr>
          <w:rFonts w:ascii="Times New Roman" w:hAnsi="Times New Roman"/>
          <w:sz w:val="24"/>
          <w:szCs w:val="24"/>
        </w:rPr>
        <w:t xml:space="preserve">.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On the priority date of the claims of the present patent, as will be explained below, the following was well known the art:</w:t>
      </w:r>
    </w:p>
    <w:p w:rsidR="002823CB" w:rsidRPr="00E12672" w:rsidRDefault="002823CB" w:rsidP="002823CB">
      <w:pPr>
        <w:pStyle w:val="ListParagraph"/>
        <w:numPr>
          <w:ilvl w:val="1"/>
          <w:numId w:val="4"/>
        </w:numPr>
        <w:spacing w:before="240" w:line="360" w:lineRule="auto"/>
        <w:ind w:left="1134" w:hanging="425"/>
        <w:jc w:val="both"/>
        <w:rPr>
          <w:rFonts w:ascii="Times New Roman" w:hAnsi="Times New Roman"/>
          <w:i/>
          <w:sz w:val="24"/>
          <w:szCs w:val="24"/>
        </w:rPr>
      </w:pPr>
      <w:r w:rsidRPr="00E12672">
        <w:rPr>
          <w:rFonts w:ascii="Times New Roman" w:hAnsi="Times New Roman"/>
          <w:sz w:val="24"/>
          <w:szCs w:val="24"/>
        </w:rPr>
        <w:t>That pharmaceutical composition comprising compound of formula (I) of the present patent having antiviral activity against HIV and a surfactant system comprising polysorbate20, polyethylene glycol;</w:t>
      </w:r>
    </w:p>
    <w:p w:rsidR="002823CB" w:rsidRPr="00E12672" w:rsidRDefault="002823CB" w:rsidP="002823CB">
      <w:pPr>
        <w:pStyle w:val="ListParagraph"/>
        <w:numPr>
          <w:ilvl w:val="1"/>
          <w:numId w:val="4"/>
        </w:numPr>
        <w:spacing w:before="240" w:line="360" w:lineRule="auto"/>
        <w:ind w:left="1134" w:hanging="425"/>
        <w:jc w:val="both"/>
        <w:rPr>
          <w:rFonts w:ascii="Times New Roman" w:hAnsi="Times New Roman"/>
          <w:i/>
          <w:sz w:val="24"/>
          <w:szCs w:val="24"/>
        </w:rPr>
      </w:pPr>
      <w:r w:rsidRPr="00E12672">
        <w:rPr>
          <w:rFonts w:ascii="Times New Roman" w:hAnsi="Times New Roman"/>
          <w:sz w:val="24"/>
          <w:szCs w:val="24"/>
        </w:rPr>
        <w:t xml:space="preserve"> Injectable forms of compounds containing carbamoyl group at certain doses as a long acting agent;</w:t>
      </w:r>
    </w:p>
    <w:p w:rsidR="002823CB" w:rsidRPr="00D645FB" w:rsidRDefault="002823CB" w:rsidP="002823CB">
      <w:pPr>
        <w:pStyle w:val="ListParagraph"/>
        <w:numPr>
          <w:ilvl w:val="1"/>
          <w:numId w:val="4"/>
        </w:numPr>
        <w:spacing w:before="240" w:line="360" w:lineRule="auto"/>
        <w:ind w:left="1134" w:hanging="425"/>
        <w:jc w:val="both"/>
        <w:rPr>
          <w:rFonts w:ascii="Times New Roman" w:hAnsi="Times New Roman"/>
          <w:i/>
          <w:sz w:val="24"/>
          <w:szCs w:val="24"/>
        </w:rPr>
      </w:pPr>
      <w:r w:rsidRPr="00E12672">
        <w:rPr>
          <w:rFonts w:ascii="Times New Roman" w:hAnsi="Times New Roman"/>
          <w:sz w:val="24"/>
          <w:szCs w:val="24"/>
        </w:rPr>
        <w:t>Use of nanotechnology approaches in treatment of HIV/AIDS;</w:t>
      </w:r>
    </w:p>
    <w:p w:rsidR="002823CB" w:rsidRPr="00D645FB" w:rsidRDefault="002823CB" w:rsidP="002823CB">
      <w:pPr>
        <w:pStyle w:val="ListParagraph"/>
        <w:numPr>
          <w:ilvl w:val="1"/>
          <w:numId w:val="4"/>
        </w:numPr>
        <w:spacing w:before="240" w:line="360" w:lineRule="auto"/>
        <w:ind w:left="1134" w:hanging="425"/>
        <w:jc w:val="both"/>
        <w:rPr>
          <w:rFonts w:ascii="Times New Roman" w:hAnsi="Times New Roman"/>
          <w:i/>
          <w:sz w:val="24"/>
          <w:szCs w:val="24"/>
        </w:rPr>
      </w:pPr>
      <w:r>
        <w:rPr>
          <w:rFonts w:ascii="Times New Roman" w:hAnsi="Times New Roman"/>
          <w:sz w:val="24"/>
          <w:szCs w:val="24"/>
        </w:rPr>
        <w:t>D</w:t>
      </w:r>
      <w:r w:rsidRPr="00D645FB">
        <w:rPr>
          <w:rFonts w:ascii="Times New Roman" w:hAnsi="Times New Roman"/>
          <w:sz w:val="24"/>
          <w:szCs w:val="24"/>
        </w:rPr>
        <w:t>evelopment of long-acting injectable anti-HIV agents was known</w:t>
      </w:r>
      <w:r>
        <w:rPr>
          <w:rFonts w:ascii="Times New Roman" w:hAnsi="Times New Roman"/>
          <w:sz w:val="24"/>
          <w:szCs w:val="24"/>
        </w:rPr>
        <w:t>;</w:t>
      </w:r>
    </w:p>
    <w:p w:rsidR="002823CB" w:rsidRPr="00E12672" w:rsidRDefault="002823CB" w:rsidP="002823CB">
      <w:pPr>
        <w:pStyle w:val="ListParagraph"/>
        <w:numPr>
          <w:ilvl w:val="1"/>
          <w:numId w:val="4"/>
        </w:numPr>
        <w:spacing w:before="240" w:line="360" w:lineRule="auto"/>
        <w:ind w:left="1134" w:hanging="425"/>
        <w:jc w:val="both"/>
        <w:rPr>
          <w:rFonts w:ascii="Times New Roman" w:hAnsi="Times New Roman"/>
          <w:i/>
          <w:sz w:val="24"/>
          <w:szCs w:val="24"/>
        </w:rPr>
      </w:pPr>
      <w:r w:rsidRPr="00E12672">
        <w:rPr>
          <w:rFonts w:ascii="Times New Roman" w:hAnsi="Times New Roman"/>
          <w:sz w:val="24"/>
          <w:szCs w:val="24"/>
        </w:rPr>
        <w:t>Sterilization of compound containing carbamoyl group and other anti- HIV agents by exposure to gamma radiation.</w:t>
      </w:r>
    </w:p>
    <w:p w:rsidR="002823CB" w:rsidRPr="00E12672" w:rsidRDefault="002823CB" w:rsidP="002823CB">
      <w:pPr>
        <w:spacing w:before="240" w:line="360" w:lineRule="auto"/>
        <w:ind w:left="851" w:hanging="851"/>
        <w:jc w:val="both"/>
        <w:rPr>
          <w:rFonts w:ascii="Times New Roman" w:hAnsi="Times New Roman"/>
          <w:b/>
          <w:i/>
          <w:sz w:val="24"/>
          <w:szCs w:val="24"/>
          <w:u w:val="single"/>
        </w:rPr>
      </w:pPr>
      <w:r w:rsidRPr="008A1AA9">
        <w:rPr>
          <w:rFonts w:ascii="Times New Roman" w:hAnsi="Times New Roman"/>
          <w:b/>
          <w:sz w:val="24"/>
          <w:szCs w:val="24"/>
        </w:rPr>
        <w:t xml:space="preserve">VII.1.a </w:t>
      </w:r>
      <w:r w:rsidRPr="00E12672">
        <w:rPr>
          <w:rFonts w:ascii="Times New Roman" w:hAnsi="Times New Roman"/>
          <w:b/>
          <w:sz w:val="24"/>
          <w:szCs w:val="24"/>
          <w:u w:val="single"/>
        </w:rPr>
        <w:t xml:space="preserve">That pharmaceutical composition comprising compound of formula (I) of the present patent having antiviral activity against HIV and a surfactant system comprising polysorbate20, polyethylene glycol was known </w:t>
      </w:r>
    </w:p>
    <w:p w:rsidR="002823CB" w:rsidRPr="00E12672" w:rsidRDefault="002823CB" w:rsidP="002823CB">
      <w:pPr>
        <w:spacing w:before="240" w:line="360" w:lineRule="auto"/>
        <w:ind w:right="720"/>
        <w:jc w:val="both"/>
        <w:rPr>
          <w:rFonts w:ascii="Times New Roman" w:hAnsi="Times New Roman"/>
          <w:smallCaps/>
          <w:sz w:val="24"/>
          <w:szCs w:val="24"/>
        </w:rPr>
      </w:pPr>
      <w:r w:rsidRPr="00E12672">
        <w:rPr>
          <w:rFonts w:ascii="Times New Roman" w:hAnsi="Times New Roman"/>
          <w:b/>
          <w:sz w:val="24"/>
          <w:szCs w:val="24"/>
        </w:rPr>
        <w:t xml:space="preserve">WO 2006/116764 A1 </w:t>
      </w:r>
      <w:r w:rsidRPr="00E12672">
        <w:rPr>
          <w:rFonts w:ascii="Times New Roman" w:hAnsi="Times New Roman"/>
          <w:sz w:val="24"/>
          <w:szCs w:val="24"/>
        </w:rPr>
        <w:t>(Published: 02.11.2006)</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sz w:val="24"/>
          <w:szCs w:val="24"/>
        </w:rPr>
      </w:pPr>
      <w:r w:rsidRPr="00E12672">
        <w:rPr>
          <w:rFonts w:ascii="Times New Roman" w:hAnsi="Times New Roman"/>
          <w:sz w:val="24"/>
          <w:szCs w:val="24"/>
        </w:rPr>
        <w:t xml:space="preserve">The Opponent relies on PCT publication no. WO 2006/116764 A1 (hereinafter “WO ’764” and annexed herewith as </w:t>
      </w:r>
      <w:r w:rsidRPr="00E12672">
        <w:rPr>
          <w:rFonts w:ascii="Times New Roman" w:hAnsi="Times New Roman"/>
          <w:b/>
          <w:sz w:val="24"/>
          <w:szCs w:val="24"/>
        </w:rPr>
        <w:t>Exhibit</w:t>
      </w:r>
      <w:r>
        <w:rPr>
          <w:rFonts w:ascii="Times New Roman" w:hAnsi="Times New Roman"/>
          <w:b/>
          <w:sz w:val="24"/>
          <w:szCs w:val="24"/>
        </w:rPr>
        <w:t xml:space="preserve"> A</w:t>
      </w:r>
      <w:r w:rsidRPr="00E12672">
        <w:rPr>
          <w:rFonts w:ascii="Times New Roman" w:hAnsi="Times New Roman"/>
          <w:b/>
          <w:sz w:val="24"/>
          <w:szCs w:val="24"/>
        </w:rPr>
        <w:t>)</w:t>
      </w:r>
      <w:r w:rsidRPr="00E12672">
        <w:rPr>
          <w:rFonts w:ascii="Times New Roman" w:hAnsi="Times New Roman"/>
          <w:sz w:val="24"/>
          <w:szCs w:val="24"/>
        </w:rPr>
        <w:t xml:space="preserve"> titled, “</w:t>
      </w:r>
      <w:r w:rsidRPr="00E12672">
        <w:rPr>
          <w:rFonts w:ascii="Times New Roman" w:hAnsi="Times New Roman"/>
          <w:i/>
          <w:sz w:val="24"/>
          <w:szCs w:val="24"/>
        </w:rPr>
        <w:t xml:space="preserve">Polycyclic Carbamoylpyridone Derivative having HIV Integrase Inhibitory </w:t>
      </w:r>
      <w:r w:rsidRPr="00E12672">
        <w:rPr>
          <w:rFonts w:ascii="Times New Roman" w:hAnsi="Times New Roman"/>
          <w:i/>
          <w:sz w:val="24"/>
          <w:szCs w:val="24"/>
        </w:rPr>
        <w:lastRenderedPageBreak/>
        <w:t xml:space="preserve">Activity” </w:t>
      </w:r>
      <w:r w:rsidRPr="00E12672">
        <w:rPr>
          <w:rFonts w:ascii="Times New Roman" w:hAnsi="Times New Roman"/>
          <w:sz w:val="24"/>
          <w:szCs w:val="24"/>
        </w:rPr>
        <w:t xml:space="preserve">published on 02.11.2006. Given that this document has been published before the date of priority of the present patent, viz. 16.09.2010, this publication can be relied on as prior art for the present patent.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sz w:val="24"/>
          <w:szCs w:val="24"/>
        </w:rPr>
      </w:pPr>
      <w:r w:rsidRPr="00E12672">
        <w:rPr>
          <w:rFonts w:ascii="Times New Roman" w:hAnsi="Times New Roman"/>
          <w:sz w:val="24"/>
          <w:szCs w:val="24"/>
        </w:rPr>
        <w:t>WO ’764 relates</w:t>
      </w:r>
      <w:r w:rsidRPr="00E12672">
        <w:rPr>
          <w:rFonts w:ascii="Times New Roman" w:hAnsi="Times New Roman"/>
          <w:i/>
          <w:sz w:val="24"/>
          <w:szCs w:val="24"/>
        </w:rPr>
        <w:t xml:space="preserve"> “to novel compounds possessing an </w:t>
      </w:r>
      <w:r w:rsidRPr="00E12672">
        <w:rPr>
          <w:rFonts w:ascii="Times New Roman" w:hAnsi="Times New Roman"/>
          <w:i/>
          <w:sz w:val="24"/>
          <w:szCs w:val="24"/>
          <w:u w:val="single"/>
        </w:rPr>
        <w:t>antiviral activity</w:t>
      </w:r>
      <w:r w:rsidRPr="00E12672">
        <w:rPr>
          <w:rFonts w:ascii="Times New Roman" w:hAnsi="Times New Roman"/>
          <w:i/>
          <w:sz w:val="24"/>
          <w:szCs w:val="24"/>
        </w:rPr>
        <w:t xml:space="preserve">, in detail polycyclic carbamoylpyridone derivatives possessing an </w:t>
      </w:r>
      <w:r w:rsidRPr="00E12672">
        <w:rPr>
          <w:rFonts w:ascii="Times New Roman" w:hAnsi="Times New Roman"/>
          <w:i/>
          <w:sz w:val="24"/>
          <w:szCs w:val="24"/>
          <w:u w:val="single"/>
        </w:rPr>
        <w:t>inhibitory activity against HIV integrase</w:t>
      </w:r>
      <w:r w:rsidRPr="00E12672">
        <w:rPr>
          <w:rFonts w:ascii="Times New Roman" w:hAnsi="Times New Roman"/>
          <w:i/>
          <w:sz w:val="24"/>
          <w:szCs w:val="24"/>
        </w:rPr>
        <w:t xml:space="preserve"> and a pharmaceutical composition containing the same, especially an anti- HIV agent”.</w:t>
      </w:r>
      <w:r w:rsidRPr="00E12672">
        <w:rPr>
          <w:rFonts w:ascii="Times New Roman" w:hAnsi="Times New Roman"/>
          <w:sz w:val="24"/>
          <w:szCs w:val="24"/>
        </w:rPr>
        <w:t xml:space="preserve"> (See WO ’764 at internal page 1, para 0001)</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sz w:val="24"/>
          <w:szCs w:val="24"/>
        </w:rPr>
      </w:pPr>
      <w:r w:rsidRPr="00E12672">
        <w:rPr>
          <w:rFonts w:ascii="Times New Roman" w:hAnsi="Times New Roman"/>
          <w:sz w:val="24"/>
          <w:szCs w:val="24"/>
        </w:rPr>
        <w:t>WO ‘764 notes that, “</w:t>
      </w:r>
      <w:r w:rsidRPr="00E12672">
        <w:rPr>
          <w:rFonts w:ascii="Times New Roman" w:hAnsi="Times New Roman"/>
          <w:i/>
          <w:sz w:val="24"/>
          <w:szCs w:val="24"/>
        </w:rPr>
        <w:t xml:space="preserve">The present compound is useful, for example, as a drug such as an anti- virus drug. The present compound has the remarkable </w:t>
      </w:r>
      <w:r w:rsidRPr="00E12672">
        <w:rPr>
          <w:rFonts w:ascii="Times New Roman" w:hAnsi="Times New Roman"/>
          <w:i/>
          <w:sz w:val="24"/>
          <w:szCs w:val="24"/>
          <w:u w:val="single"/>
        </w:rPr>
        <w:t>inhibitory action on integrase of a virus</w:t>
      </w:r>
      <w:r w:rsidRPr="00E12672">
        <w:rPr>
          <w:rFonts w:ascii="Times New Roman" w:hAnsi="Times New Roman"/>
          <w:i/>
          <w:sz w:val="24"/>
          <w:szCs w:val="24"/>
        </w:rPr>
        <w:t xml:space="preserve">. Therefore, the present compound can be expected to have the preventive or therapeutic effect for various diseases derived from a virus which produces at least integrase and is grown at infection in an animal cell, and is useful as an </w:t>
      </w:r>
      <w:r w:rsidRPr="00E12672">
        <w:rPr>
          <w:rFonts w:ascii="Times New Roman" w:hAnsi="Times New Roman"/>
          <w:i/>
          <w:sz w:val="24"/>
          <w:szCs w:val="24"/>
          <w:u w:val="single"/>
        </w:rPr>
        <w:t>integrase inhibiting agent for retrovirus</w:t>
      </w:r>
      <w:r w:rsidRPr="00E12672">
        <w:rPr>
          <w:rFonts w:ascii="Times New Roman" w:hAnsi="Times New Roman"/>
          <w:i/>
          <w:sz w:val="24"/>
          <w:szCs w:val="24"/>
        </w:rPr>
        <w:t xml:space="preserve"> (e.g. HIV-1, HIV- 2, HTLV-1, SIV, FIV etc.) and is useful in anti- HIV drug etc. </w:t>
      </w:r>
      <w:r w:rsidRPr="00E12672">
        <w:rPr>
          <w:rFonts w:ascii="Times New Roman" w:hAnsi="Times New Roman"/>
          <w:sz w:val="24"/>
          <w:szCs w:val="24"/>
        </w:rPr>
        <w:t>(See WO ’764 at internal page 77, para 5 to internal page 78, para 1).</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sz w:val="24"/>
          <w:szCs w:val="24"/>
        </w:rPr>
      </w:pPr>
      <w:r w:rsidRPr="00E12672">
        <w:rPr>
          <w:rFonts w:ascii="Times New Roman" w:hAnsi="Times New Roman"/>
          <w:sz w:val="24"/>
          <w:szCs w:val="24"/>
        </w:rPr>
        <w:t>WO ’764 discloses compound I-1-1 ( see complete specification, internal page 8)</w:t>
      </w:r>
    </w:p>
    <w:p w:rsidR="002823CB" w:rsidRPr="00E12672" w:rsidRDefault="002823CB" w:rsidP="002823CB">
      <w:pPr>
        <w:spacing w:before="240" w:line="360" w:lineRule="auto"/>
        <w:ind w:left="720" w:right="720"/>
        <w:rPr>
          <w:rFonts w:ascii="Times New Roman" w:hAnsi="Times New Roman"/>
          <w:sz w:val="24"/>
          <w:szCs w:val="24"/>
        </w:rPr>
      </w:pPr>
      <w:r w:rsidRPr="00E12672">
        <w:rPr>
          <w:rFonts w:ascii="Times New Roman" w:hAnsi="Times New Roman"/>
          <w:noProof/>
          <w:sz w:val="24"/>
          <w:szCs w:val="24"/>
          <w:lang w:val="en-IN" w:eastAsia="en-IN"/>
        </w:rPr>
        <w:drawing>
          <wp:inline distT="0" distB="0" distL="0" distR="0" wp14:anchorId="33F8219C" wp14:editId="512E1F15">
            <wp:extent cx="2343630" cy="10217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54054" cy="1026259"/>
                    </a:xfrm>
                    <a:prstGeom prst="rect">
                      <a:avLst/>
                    </a:prstGeom>
                  </pic:spPr>
                </pic:pic>
              </a:graphicData>
            </a:graphic>
          </wp:inline>
        </w:drawing>
      </w:r>
    </w:p>
    <w:p w:rsidR="002823CB" w:rsidRPr="00E12672" w:rsidRDefault="002823CB" w:rsidP="002823CB">
      <w:pPr>
        <w:spacing w:before="240" w:line="360" w:lineRule="auto"/>
        <w:ind w:left="567" w:hanging="567"/>
        <w:rPr>
          <w:rFonts w:ascii="Times New Roman" w:hAnsi="Times New Roman"/>
          <w:sz w:val="24"/>
          <w:szCs w:val="24"/>
        </w:rPr>
      </w:pPr>
      <w:r w:rsidRPr="00E12672">
        <w:rPr>
          <w:rFonts w:ascii="Times New Roman" w:hAnsi="Times New Roman"/>
          <w:sz w:val="24"/>
          <w:szCs w:val="24"/>
        </w:rPr>
        <w:t>(</w:t>
      </w:r>
      <w:proofErr w:type="gramStart"/>
      <w:r w:rsidRPr="00E12672">
        <w:rPr>
          <w:rFonts w:ascii="Times New Roman" w:hAnsi="Times New Roman"/>
          <w:sz w:val="24"/>
          <w:szCs w:val="24"/>
        </w:rPr>
        <w:t>wherein</w:t>
      </w:r>
      <w:proofErr w:type="gramEnd"/>
      <w:r w:rsidRPr="00E12672">
        <w:rPr>
          <w:rFonts w:ascii="Times New Roman" w:hAnsi="Times New Roman"/>
          <w:sz w:val="24"/>
          <w:szCs w:val="24"/>
        </w:rPr>
        <w:t xml:space="preserve">, </w:t>
      </w:r>
    </w:p>
    <w:p w:rsidR="002823CB" w:rsidRPr="00E12672" w:rsidRDefault="002823CB" w:rsidP="002823CB">
      <w:p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A ring is optionally substituted and optionally condensed 5- to 7- membered heterocycle containing 1 to 2 hetero atom(s);</w:t>
      </w:r>
    </w:p>
    <w:p w:rsidR="002823CB" w:rsidRPr="00E12672" w:rsidRDefault="002823CB" w:rsidP="002823CB">
      <w:pPr>
        <w:spacing w:before="240" w:line="360" w:lineRule="auto"/>
        <w:ind w:left="567" w:hanging="567"/>
        <w:jc w:val="both"/>
        <w:rPr>
          <w:rFonts w:ascii="Times New Roman" w:hAnsi="Times New Roman"/>
          <w:sz w:val="24"/>
          <w:szCs w:val="24"/>
        </w:rPr>
      </w:pPr>
      <w:proofErr w:type="gramStart"/>
      <w:r w:rsidRPr="00E12672">
        <w:rPr>
          <w:rFonts w:ascii="Times New Roman" w:hAnsi="Times New Roman"/>
          <w:sz w:val="24"/>
          <w:szCs w:val="24"/>
        </w:rPr>
        <w:t>the</w:t>
      </w:r>
      <w:proofErr w:type="gramEnd"/>
      <w:r w:rsidRPr="00E12672">
        <w:rPr>
          <w:rFonts w:ascii="Times New Roman" w:hAnsi="Times New Roman"/>
          <w:sz w:val="24"/>
          <w:szCs w:val="24"/>
        </w:rPr>
        <w:t xml:space="preserve"> stereochemistry of an asymmetric carbon requested by *shows R- or S- configuration, or mixture thereof;</w:t>
      </w:r>
    </w:p>
    <w:p w:rsidR="002823CB" w:rsidRPr="00E12672" w:rsidRDefault="002823CB" w:rsidP="002823CB">
      <w:p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lastRenderedPageBreak/>
        <w:t>R</w:t>
      </w:r>
      <w:r w:rsidRPr="00E12672">
        <w:rPr>
          <w:rFonts w:ascii="Times New Roman" w:hAnsi="Times New Roman"/>
          <w:sz w:val="24"/>
          <w:szCs w:val="24"/>
          <w:vertAlign w:val="superscript"/>
        </w:rPr>
        <w:t>14</w:t>
      </w:r>
      <w:r w:rsidRPr="00E12672">
        <w:rPr>
          <w:rFonts w:ascii="Times New Roman" w:hAnsi="Times New Roman"/>
          <w:sz w:val="24"/>
          <w:szCs w:val="24"/>
        </w:rPr>
        <w:t xml:space="preserve"> and R</w:t>
      </w:r>
      <w:r w:rsidRPr="00E12672">
        <w:rPr>
          <w:rFonts w:ascii="Times New Roman" w:hAnsi="Times New Roman"/>
          <w:sz w:val="24"/>
          <w:szCs w:val="24"/>
          <w:vertAlign w:val="superscript"/>
        </w:rPr>
        <w:t>X</w:t>
      </w:r>
      <w:r w:rsidRPr="00E12672">
        <w:rPr>
          <w:rFonts w:ascii="Times New Roman" w:hAnsi="Times New Roman"/>
          <w:sz w:val="24"/>
          <w:szCs w:val="24"/>
        </w:rPr>
        <w:t xml:space="preserve"> are independently hydrogen, optionally substituted lower alkyl, optionally substituted cycloalkyl, optionally substituted cycloalkyl lower alkyl, optionally substituted lower alkenyl, optionally substituted lower alkoxy, optionally substituted lower alkenyloxy, optionally substituted aryl, optionally substituted aryl lower alkyl, optionally substituted aryloxy, optionally substituted heterocyclic group, optionally substituted heterocycle lower alkyl, optionally substituted heterocycleoxy, optionally substituted phosphoric acid residue, aryl substituted with optionally substituted phosphoric acid residue, hydroxy substituted with optionally substituted phosphoric acid residue, amino substituted with optionally substituted phosphoric acid residue or lower alkyl substituted with optionally substituted phosphoric acid residue (the lower alkyl may be intervened by a heteroatom group selected from O, S, SO, SO</w:t>
      </w:r>
      <w:r w:rsidRPr="00E12672">
        <w:rPr>
          <w:rFonts w:ascii="Times New Roman" w:hAnsi="Times New Roman"/>
          <w:sz w:val="24"/>
          <w:szCs w:val="24"/>
          <w:vertAlign w:val="subscript"/>
        </w:rPr>
        <w:t>2</w:t>
      </w:r>
      <w:r w:rsidRPr="00E12672">
        <w:rPr>
          <w:rFonts w:ascii="Times New Roman" w:hAnsi="Times New Roman"/>
          <w:sz w:val="24"/>
          <w:szCs w:val="24"/>
        </w:rPr>
        <w:t>, NR</w:t>
      </w:r>
      <w:r w:rsidRPr="00E12672">
        <w:rPr>
          <w:rFonts w:ascii="Times New Roman" w:hAnsi="Times New Roman"/>
          <w:sz w:val="24"/>
          <w:szCs w:val="24"/>
          <w:vertAlign w:val="superscript"/>
        </w:rPr>
        <w:t>5</w:t>
      </w:r>
      <w:r w:rsidRPr="00E12672">
        <w:rPr>
          <w:rFonts w:ascii="Times New Roman" w:hAnsi="Times New Roman"/>
          <w:sz w:val="24"/>
          <w:szCs w:val="24"/>
        </w:rPr>
        <w:t xml:space="preserve"> (R</w:t>
      </w:r>
      <w:r w:rsidRPr="00E12672">
        <w:rPr>
          <w:rFonts w:ascii="Times New Roman" w:hAnsi="Times New Roman"/>
          <w:sz w:val="24"/>
          <w:szCs w:val="24"/>
          <w:vertAlign w:val="superscript"/>
        </w:rPr>
        <w:t>5</w:t>
      </w:r>
      <w:r w:rsidRPr="00E12672">
        <w:rPr>
          <w:rFonts w:ascii="Times New Roman" w:hAnsi="Times New Roman"/>
          <w:sz w:val="24"/>
          <w:szCs w:val="24"/>
        </w:rPr>
        <w:t xml:space="preserve"> is selected independently from the same substituent group as R</w:t>
      </w:r>
      <w:r w:rsidRPr="00E12672">
        <w:rPr>
          <w:rFonts w:ascii="Times New Roman" w:hAnsi="Times New Roman"/>
          <w:sz w:val="24"/>
          <w:szCs w:val="24"/>
          <w:vertAlign w:val="superscript"/>
        </w:rPr>
        <w:t>4</w:t>
      </w:r>
      <w:r w:rsidRPr="00E12672">
        <w:rPr>
          <w:rFonts w:ascii="Times New Roman" w:hAnsi="Times New Roman"/>
          <w:sz w:val="24"/>
          <w:szCs w:val="24"/>
        </w:rPr>
        <w:t xml:space="preserve">), -N= and =N-), hydroxy, optionally substituted amino, optionally substituted lower alkyl carbonyl, optionally substituted cycloalkylcarbonyl, optionally substituted cycloalkyl lower alkyl carbonyl, optionally substituted lower alkoxy carbonyl, optionally substituted arylcarbonyl, optionally substituted aryl lower alkyl carbonyl, optionally substituted aryloxycarbonyl, optionally substituted heterocyclecarbonyl, optionally substituted heterocycle lower alkyl carbonyl, optionally substituted heterocycleoxy carbonyl or optionally substituted aminocarbonyl; </w:t>
      </w:r>
    </w:p>
    <w:p w:rsidR="002823CB" w:rsidRPr="00E12672" w:rsidRDefault="002823CB" w:rsidP="002823CB">
      <w:p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R</w:t>
      </w:r>
      <w:r w:rsidRPr="00E12672">
        <w:rPr>
          <w:rFonts w:ascii="Times New Roman" w:hAnsi="Times New Roman"/>
          <w:sz w:val="24"/>
          <w:szCs w:val="24"/>
          <w:vertAlign w:val="superscript"/>
        </w:rPr>
        <w:t>3</w:t>
      </w:r>
      <w:r w:rsidRPr="00E12672">
        <w:rPr>
          <w:rFonts w:ascii="Times New Roman" w:hAnsi="Times New Roman"/>
          <w:sz w:val="24"/>
          <w:szCs w:val="24"/>
        </w:rPr>
        <w:t xml:space="preserve"> is hydrogen, halogen, hydroxy, optionally substituted lower alkyl, optionally substituted cycloalkyl, optionally substituted lower alkenyl, optionally substituted lower alkoxy, optionally substituted lower alkenyloxy, optionally substituted aryl, optionally substituted aryloxy, optionally substituted heterocyclic group, optionally substituted heterocycleoxy or optionally substituted amino, its pharmaceutically acceptable salt, or </w:t>
      </w:r>
    </w:p>
    <w:p w:rsidR="002823CB" w:rsidRPr="00E12672" w:rsidRDefault="002823CB" w:rsidP="002823CB">
      <w:p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R</w:t>
      </w:r>
      <w:r w:rsidRPr="00E12672">
        <w:rPr>
          <w:rFonts w:ascii="Times New Roman" w:hAnsi="Times New Roman"/>
          <w:sz w:val="24"/>
          <w:szCs w:val="24"/>
          <w:vertAlign w:val="superscript"/>
        </w:rPr>
        <w:t>1</w:t>
      </w:r>
      <w:r w:rsidRPr="00E12672">
        <w:rPr>
          <w:rFonts w:ascii="Times New Roman" w:hAnsi="Times New Roman"/>
          <w:sz w:val="24"/>
          <w:szCs w:val="24"/>
        </w:rPr>
        <w:t xml:space="preserve"> is hydrogen or lower alkyl; </w:t>
      </w:r>
    </w:p>
    <w:p w:rsidR="002823CB" w:rsidRPr="00E12672" w:rsidRDefault="002823CB" w:rsidP="002823CB">
      <w:p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lastRenderedPageBreak/>
        <w:t xml:space="preserve">R is independently selected from halogen and Substituent group S1; </w:t>
      </w:r>
    </w:p>
    <w:p w:rsidR="002823CB" w:rsidRPr="00E12672" w:rsidRDefault="002823CB" w:rsidP="002823CB">
      <w:p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Substituent group S1 (: optionally substituent phosphoric acid residue, aryl substituted with  optionally substituted phosphoric acid residue, aralkyl substituted with optionally substituted phosphoric acid residue, hydroxy substituted with optionally substituted phosphoric acid residue, amino substituted with optionally substituted phosphoric acid residue, or lower alkyl substituted with optionally substituted phosphoric acid residue (wherein the lower alkyl may be intervened with a heteroatom group(s) selected from CO, O,O, S, SO, SO</w:t>
      </w:r>
      <w:r w:rsidRPr="00E12672">
        <w:rPr>
          <w:rFonts w:ascii="Times New Roman" w:hAnsi="Times New Roman"/>
          <w:sz w:val="24"/>
          <w:szCs w:val="24"/>
          <w:vertAlign w:val="subscript"/>
        </w:rPr>
        <w:t>2</w:t>
      </w:r>
      <w:r w:rsidRPr="00E12672">
        <w:rPr>
          <w:rFonts w:ascii="Times New Roman" w:hAnsi="Times New Roman"/>
          <w:sz w:val="24"/>
          <w:szCs w:val="24"/>
        </w:rPr>
        <w:t>, NR</w:t>
      </w:r>
      <w:r w:rsidRPr="00E12672">
        <w:rPr>
          <w:rFonts w:ascii="Times New Roman" w:hAnsi="Times New Roman"/>
          <w:sz w:val="24"/>
          <w:szCs w:val="24"/>
          <w:vertAlign w:val="superscript"/>
        </w:rPr>
        <w:t>a</w:t>
      </w:r>
      <w:r w:rsidRPr="00E12672">
        <w:rPr>
          <w:rFonts w:ascii="Times New Roman" w:hAnsi="Times New Roman"/>
          <w:sz w:val="24"/>
          <w:szCs w:val="24"/>
        </w:rPr>
        <w:t xml:space="preserve"> (R</w:t>
      </w:r>
      <w:r w:rsidRPr="00E12672">
        <w:rPr>
          <w:rFonts w:ascii="Times New Roman" w:hAnsi="Times New Roman"/>
          <w:sz w:val="24"/>
          <w:szCs w:val="24"/>
          <w:vertAlign w:val="superscript"/>
        </w:rPr>
        <w:t>a</w:t>
      </w:r>
      <w:r w:rsidRPr="00E12672">
        <w:rPr>
          <w:rFonts w:ascii="Times New Roman" w:hAnsi="Times New Roman"/>
          <w:sz w:val="24"/>
          <w:szCs w:val="24"/>
        </w:rPr>
        <w:t xml:space="preserve"> is hydrogen or lower alkyl), -N= and =N-), lower alkoxy lower alkyl, amino lower alkyl optionally substituted with mono- or di- lower alkyl, halogenated lower alkyl, lower alkoxy, carbamoyl optionally substituted with mono- or di- lower alkyl, optionally substituted lower alkyl sulfonyl amino, halogenated lower alkoxy, hydroxy lower alkyl)</w:t>
      </w:r>
    </w:p>
    <w:p w:rsidR="002823CB" w:rsidRPr="00E12672" w:rsidRDefault="002823CB" w:rsidP="002823CB">
      <w:pPr>
        <w:spacing w:before="240" w:line="360" w:lineRule="auto"/>
        <w:ind w:left="567" w:hanging="567"/>
        <w:jc w:val="both"/>
        <w:rPr>
          <w:rFonts w:ascii="Times New Roman" w:hAnsi="Times New Roman"/>
          <w:sz w:val="24"/>
          <w:szCs w:val="24"/>
        </w:rPr>
      </w:pPr>
      <w:proofErr w:type="gramStart"/>
      <w:r w:rsidRPr="00E12672">
        <w:rPr>
          <w:rFonts w:ascii="Times New Roman" w:hAnsi="Times New Roman"/>
          <w:sz w:val="24"/>
          <w:szCs w:val="24"/>
        </w:rPr>
        <w:t>m</w:t>
      </w:r>
      <w:proofErr w:type="gramEnd"/>
      <w:r w:rsidRPr="00E12672">
        <w:rPr>
          <w:rFonts w:ascii="Times New Roman" w:hAnsi="Times New Roman"/>
          <w:sz w:val="24"/>
          <w:szCs w:val="24"/>
        </w:rPr>
        <w:t xml:space="preserve"> is integer of 0 to 3, its pharmaceutically acceptable salt, or solvate thereof. </w:t>
      </w:r>
    </w:p>
    <w:p w:rsidR="002823CB" w:rsidRPr="00E12672" w:rsidRDefault="002823CB" w:rsidP="002823CB">
      <w:pPr>
        <w:spacing w:before="240" w:line="360" w:lineRule="auto"/>
        <w:ind w:left="567" w:hanging="567"/>
        <w:rPr>
          <w:rFonts w:ascii="Times New Roman" w:hAnsi="Times New Roman"/>
          <w:sz w:val="24"/>
          <w:szCs w:val="24"/>
        </w:rPr>
      </w:pPr>
      <w:r w:rsidRPr="00E12672">
        <w:rPr>
          <w:rFonts w:ascii="Times New Roman" w:hAnsi="Times New Roman"/>
          <w:sz w:val="24"/>
          <w:szCs w:val="24"/>
        </w:rPr>
        <w:t xml:space="preserve">Of the above-mentioned substitutions to the compound I-1-1, one of the substitutions would be wherein, </w:t>
      </w:r>
    </w:p>
    <w:p w:rsidR="002823CB" w:rsidRPr="00E12672" w:rsidRDefault="002823CB" w:rsidP="002823CB">
      <w:pPr>
        <w:pStyle w:val="ListParagraph"/>
        <w:spacing w:before="240" w:line="360" w:lineRule="auto"/>
        <w:ind w:left="567" w:hanging="567"/>
        <w:rPr>
          <w:rFonts w:ascii="Times New Roman" w:hAnsi="Times New Roman"/>
          <w:sz w:val="24"/>
          <w:szCs w:val="24"/>
        </w:rPr>
      </w:pPr>
      <w:r w:rsidRPr="00E12672">
        <w:rPr>
          <w:rFonts w:ascii="Times New Roman" w:hAnsi="Times New Roman"/>
          <w:sz w:val="24"/>
          <w:szCs w:val="24"/>
        </w:rPr>
        <w:t>A ring is an optionally substituted and optionally condensed 5 membered heterocycle containing 1 to 2 hetero atom(s); (See WO ’764 at internal page 8, para 12)</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WO ’764 in further discloses that, “</w:t>
      </w:r>
      <w:r w:rsidRPr="00E12672">
        <w:rPr>
          <w:rFonts w:ascii="Times New Roman" w:hAnsi="Times New Roman"/>
          <w:i/>
          <w:sz w:val="24"/>
          <w:szCs w:val="24"/>
        </w:rPr>
        <w:t xml:space="preserve">Condensed aromatic hotero-type ring" means a group wherein an aromatic ring containing 1 to 4 of </w:t>
      </w:r>
      <w:r w:rsidRPr="00E12672">
        <w:rPr>
          <w:rFonts w:ascii="Times New Roman" w:hAnsi="Times New Roman"/>
          <w:b/>
          <w:i/>
          <w:sz w:val="24"/>
          <w:szCs w:val="24"/>
          <w:u w:val="single"/>
        </w:rPr>
        <w:t>O</w:t>
      </w:r>
      <w:r w:rsidRPr="00E12672">
        <w:rPr>
          <w:rFonts w:ascii="Times New Roman" w:hAnsi="Times New Roman"/>
          <w:i/>
          <w:sz w:val="24"/>
          <w:szCs w:val="24"/>
        </w:rPr>
        <w:t>, S, P and/ or N is condensed with 1 to 4 of 5- to 8-membered aromatic ring(s) or the other 5- to 8-membored aromatic heteroring(s)</w:t>
      </w:r>
      <w:r w:rsidRPr="00E12672">
        <w:rPr>
          <w:rFonts w:ascii="Times New Roman" w:hAnsi="Times New Roman"/>
          <w:sz w:val="24"/>
          <w:szCs w:val="24"/>
        </w:rPr>
        <w:t>” emphasis supplied (See WO ’764, internal page 40,para 3)</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The stereochemistry of an asymmetric carbon represented by * shows R- or S- configuration or a mixture thereof; (See WO ’764 at internal page 8, para 12)</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sz w:val="24"/>
          <w:szCs w:val="24"/>
        </w:rPr>
        <w:t>R</w:t>
      </w:r>
      <w:r w:rsidRPr="00E12672">
        <w:rPr>
          <w:rFonts w:ascii="Times New Roman" w:hAnsi="Times New Roman"/>
          <w:sz w:val="24"/>
          <w:szCs w:val="24"/>
          <w:vertAlign w:val="superscript"/>
        </w:rPr>
        <w:t>1</w:t>
      </w:r>
      <w:r w:rsidRPr="00E12672">
        <w:rPr>
          <w:rFonts w:ascii="Times New Roman" w:hAnsi="Times New Roman"/>
          <w:sz w:val="24"/>
          <w:szCs w:val="24"/>
        </w:rPr>
        <w:t xml:space="preserve"> is H (See WO ’764, internal page 9, para 3)</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sz w:val="24"/>
          <w:szCs w:val="24"/>
        </w:rPr>
        <w:lastRenderedPageBreak/>
        <w:t>A compound according to the above, pharmaceutically acceptable salt, or solvate thereof, wherein R</w:t>
      </w:r>
      <w:r w:rsidRPr="00E12672">
        <w:rPr>
          <w:rFonts w:ascii="Times New Roman" w:hAnsi="Times New Roman"/>
          <w:sz w:val="24"/>
          <w:szCs w:val="24"/>
          <w:vertAlign w:val="superscript"/>
        </w:rPr>
        <w:t xml:space="preserve">14 </w:t>
      </w:r>
      <w:r w:rsidRPr="00E12672">
        <w:rPr>
          <w:rFonts w:ascii="Times New Roman" w:hAnsi="Times New Roman"/>
          <w:sz w:val="24"/>
          <w:szCs w:val="24"/>
        </w:rPr>
        <w:t>and R</w:t>
      </w:r>
      <w:r w:rsidRPr="00E12672">
        <w:rPr>
          <w:rFonts w:ascii="Times New Roman" w:hAnsi="Times New Roman"/>
          <w:sz w:val="24"/>
          <w:szCs w:val="24"/>
          <w:vertAlign w:val="superscript"/>
        </w:rPr>
        <w:t>x</w:t>
      </w:r>
      <w:r w:rsidRPr="00E12672">
        <w:rPr>
          <w:rFonts w:ascii="Times New Roman" w:hAnsi="Times New Roman"/>
          <w:sz w:val="24"/>
          <w:szCs w:val="24"/>
        </w:rPr>
        <w:t xml:space="preserve"> are hydrogen, R</w:t>
      </w:r>
      <w:r w:rsidRPr="00E12672">
        <w:rPr>
          <w:rFonts w:ascii="Times New Roman" w:hAnsi="Times New Roman"/>
          <w:sz w:val="24"/>
          <w:szCs w:val="24"/>
          <w:vertAlign w:val="superscript"/>
        </w:rPr>
        <w:t>3</w:t>
      </w:r>
      <w:r w:rsidRPr="00E12672">
        <w:rPr>
          <w:rFonts w:ascii="Times New Roman" w:hAnsi="Times New Roman"/>
          <w:sz w:val="24"/>
          <w:szCs w:val="24"/>
        </w:rPr>
        <w:t xml:space="preserve"> is hydrogen; m is 2 and both R are halogens. (See WO ’764 at internal pages 9-10, para 14-16)</w:t>
      </w:r>
    </w:p>
    <w:p w:rsidR="002823CB" w:rsidRPr="00E12672" w:rsidRDefault="002823CB" w:rsidP="002823CB">
      <w:pPr>
        <w:pStyle w:val="ListParagraph"/>
        <w:spacing w:before="240" w:line="360" w:lineRule="auto"/>
        <w:ind w:left="567"/>
        <w:jc w:val="both"/>
        <w:rPr>
          <w:rFonts w:ascii="Times New Roman" w:hAnsi="Times New Roman"/>
          <w:sz w:val="24"/>
          <w:szCs w:val="24"/>
        </w:rPr>
      </w:pPr>
      <w:r w:rsidRPr="00E12672">
        <w:rPr>
          <w:rFonts w:ascii="Times New Roman" w:hAnsi="Times New Roman"/>
          <w:sz w:val="24"/>
          <w:szCs w:val="24"/>
        </w:rPr>
        <w:t>On such a substitution, one arrives at the following compound:</w:t>
      </w:r>
    </w:p>
    <w:p w:rsidR="002823CB" w:rsidRPr="00E12672" w:rsidRDefault="002823CB" w:rsidP="002823CB">
      <w:pPr>
        <w:pStyle w:val="ListParagraph"/>
        <w:spacing w:before="240" w:line="360" w:lineRule="auto"/>
        <w:ind w:right="720"/>
        <w:jc w:val="both"/>
        <w:rPr>
          <w:rFonts w:ascii="Times New Roman" w:hAnsi="Times New Roman"/>
          <w:sz w:val="24"/>
          <w:szCs w:val="24"/>
        </w:rPr>
      </w:pPr>
      <w:r w:rsidRPr="00E12672">
        <w:rPr>
          <w:rFonts w:ascii="Times New Roman" w:hAnsi="Times New Roman"/>
          <w:noProof/>
          <w:sz w:val="24"/>
          <w:szCs w:val="24"/>
          <w:lang w:val="en-IN" w:eastAsia="en-IN"/>
        </w:rPr>
        <w:drawing>
          <wp:inline distT="0" distB="0" distL="0" distR="0" wp14:anchorId="2217C1C8" wp14:editId="0471CD2F">
            <wp:extent cx="2892425" cy="121348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2425" cy="1213485"/>
                    </a:xfrm>
                    <a:prstGeom prst="rect">
                      <a:avLst/>
                    </a:prstGeom>
                    <a:noFill/>
                    <a:ln>
                      <a:noFill/>
                    </a:ln>
                  </pic:spPr>
                </pic:pic>
              </a:graphicData>
            </a:graphic>
          </wp:inline>
        </w:drawing>
      </w:r>
    </w:p>
    <w:p w:rsidR="002823CB" w:rsidRPr="00E12672" w:rsidRDefault="002823CB" w:rsidP="002823CB">
      <w:pPr>
        <w:pStyle w:val="ListParagraph"/>
        <w:spacing w:before="240" w:line="360" w:lineRule="auto"/>
        <w:ind w:right="720"/>
        <w:jc w:val="both"/>
        <w:rPr>
          <w:rFonts w:ascii="Times New Roman" w:hAnsi="Times New Roman"/>
          <w:sz w:val="24"/>
          <w:szCs w:val="24"/>
        </w:rPr>
      </w:pP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WO ’764 also discloses the route of administration of the compounds disclosed therein. It notes, “</w:t>
      </w:r>
      <w:r w:rsidRPr="00E12672">
        <w:rPr>
          <w:rFonts w:ascii="Times New Roman" w:hAnsi="Times New Roman"/>
          <w:i/>
          <w:sz w:val="24"/>
          <w:szCs w:val="24"/>
        </w:rPr>
        <w:t xml:space="preserve">The present compound can be adminitered orally or </w:t>
      </w:r>
      <w:r w:rsidRPr="00B00BCA">
        <w:rPr>
          <w:rFonts w:ascii="Times New Roman" w:hAnsi="Times New Roman"/>
          <w:i/>
          <w:sz w:val="24"/>
          <w:szCs w:val="24"/>
          <w:u w:val="single"/>
        </w:rPr>
        <w:t>parenterally</w:t>
      </w:r>
      <w:r w:rsidRPr="00E12672">
        <w:rPr>
          <w:rFonts w:ascii="Times New Roman" w:hAnsi="Times New Roman"/>
          <w:i/>
          <w:sz w:val="24"/>
          <w:szCs w:val="24"/>
        </w:rPr>
        <w:t xml:space="preserve">, In the case of oral administration, the present compound can be also used as a conventional preparation, for example, as any dosage form of a solid agent such as tablets, powders, granules, capsules and the like' an aqueous agent; an oily suspension; or a liquid agent such as syrup and elixir. In the case of parenteral administration, the present compound can be used as an </w:t>
      </w:r>
      <w:r w:rsidRPr="00E12672">
        <w:rPr>
          <w:rFonts w:ascii="Times New Roman" w:hAnsi="Times New Roman"/>
          <w:i/>
          <w:sz w:val="24"/>
          <w:szCs w:val="24"/>
          <w:u w:val="single"/>
        </w:rPr>
        <w:t>aqueous or oily suspension injectable</w:t>
      </w:r>
      <w:r w:rsidRPr="00E12672">
        <w:rPr>
          <w:rFonts w:ascii="Times New Roman" w:hAnsi="Times New Roman"/>
          <w:i/>
          <w:sz w:val="24"/>
          <w:szCs w:val="24"/>
        </w:rPr>
        <w:t xml:space="preserve">, or a nasal drop, Upon preparation of it, conventional excipients, binders, lubricants, aqueous solvents, oily solvents, </w:t>
      </w:r>
      <w:r w:rsidRPr="00E12672">
        <w:rPr>
          <w:rFonts w:ascii="Times New Roman" w:hAnsi="Times New Roman"/>
          <w:i/>
          <w:sz w:val="24"/>
          <w:szCs w:val="24"/>
          <w:u w:val="single"/>
        </w:rPr>
        <w:t>emulsifiers, suspending agents</w:t>
      </w:r>
      <w:r w:rsidRPr="00E12672">
        <w:rPr>
          <w:rFonts w:ascii="Times New Roman" w:hAnsi="Times New Roman"/>
          <w:i/>
          <w:sz w:val="24"/>
          <w:szCs w:val="24"/>
        </w:rPr>
        <w:t xml:space="preserve">, preservatives, </w:t>
      </w:r>
      <w:r w:rsidRPr="00E12672">
        <w:rPr>
          <w:rFonts w:ascii="Times New Roman" w:hAnsi="Times New Roman"/>
          <w:i/>
          <w:sz w:val="24"/>
          <w:szCs w:val="24"/>
          <w:u w:val="single"/>
        </w:rPr>
        <w:t>stabilizers</w:t>
      </w:r>
      <w:r w:rsidRPr="00E12672">
        <w:rPr>
          <w:rFonts w:ascii="Times New Roman" w:hAnsi="Times New Roman"/>
          <w:i/>
          <w:sz w:val="24"/>
          <w:szCs w:val="24"/>
        </w:rPr>
        <w:t xml:space="preserve"> and the like may be arbitrarily used….A preparation of the present invention is prepared by combining (e.g. mixing) a therapeutically effective amount of the present compound with a pharmaceutically acceptable carrier or diluent.</w:t>
      </w:r>
    </w:p>
    <w:p w:rsidR="002823CB" w:rsidRDefault="002823CB" w:rsidP="002823CB">
      <w:pPr>
        <w:pStyle w:val="ListParagraph"/>
        <w:spacing w:before="240" w:line="360" w:lineRule="auto"/>
        <w:ind w:left="567" w:hanging="567"/>
        <w:jc w:val="both"/>
        <w:rPr>
          <w:rFonts w:ascii="Times New Roman" w:hAnsi="Times New Roman"/>
          <w:sz w:val="24"/>
          <w:szCs w:val="24"/>
        </w:rPr>
      </w:pPr>
      <w:r w:rsidRPr="00E12672">
        <w:rPr>
          <w:rFonts w:ascii="Times New Roman" w:hAnsi="Times New Roman"/>
          <w:i/>
          <w:sz w:val="24"/>
          <w:szCs w:val="24"/>
        </w:rPr>
        <w:t>… usually, in the case of oral administration, about 0.05mg to 3000mg, preferably about 0.lmg to 1000mg may be administered per adult a day, if necessary, by dividing the dose, In addition, in the case of parenteral administration, about 0.01mg to 1000mg, preferably about 0.05mg to 500mg" is administered per adult a day</w:t>
      </w:r>
      <w:r w:rsidRPr="00E12672">
        <w:rPr>
          <w:rFonts w:ascii="Times New Roman" w:hAnsi="Times New Roman"/>
          <w:sz w:val="24"/>
          <w:szCs w:val="24"/>
        </w:rPr>
        <w:t>.” (</w:t>
      </w:r>
      <w:proofErr w:type="gramStart"/>
      <w:r w:rsidRPr="00E12672">
        <w:rPr>
          <w:rFonts w:ascii="Times New Roman" w:hAnsi="Times New Roman"/>
          <w:sz w:val="24"/>
          <w:szCs w:val="24"/>
        </w:rPr>
        <w:t>sic</w:t>
      </w:r>
      <w:proofErr w:type="gramEnd"/>
      <w:r w:rsidRPr="00E12672">
        <w:rPr>
          <w:rFonts w:ascii="Times New Roman" w:hAnsi="Times New Roman"/>
          <w:sz w:val="24"/>
          <w:szCs w:val="24"/>
        </w:rPr>
        <w:t>) (</w:t>
      </w:r>
      <w:proofErr w:type="gramStart"/>
      <w:r w:rsidRPr="00E12672">
        <w:rPr>
          <w:rFonts w:ascii="Times New Roman" w:hAnsi="Times New Roman"/>
          <w:sz w:val="24"/>
          <w:szCs w:val="24"/>
        </w:rPr>
        <w:t>emphasis</w:t>
      </w:r>
      <w:proofErr w:type="gramEnd"/>
      <w:r w:rsidRPr="00E12672">
        <w:rPr>
          <w:rFonts w:ascii="Times New Roman" w:hAnsi="Times New Roman"/>
          <w:sz w:val="24"/>
          <w:szCs w:val="24"/>
        </w:rPr>
        <w:t xml:space="preserve"> supplied)(See WO ’764, internal page 78, paras 4 and 5)</w:t>
      </w:r>
    </w:p>
    <w:p w:rsidR="002823CB" w:rsidRPr="00B00BCA" w:rsidRDefault="002823CB" w:rsidP="002823CB">
      <w:pPr>
        <w:pStyle w:val="ListParagraph"/>
        <w:spacing w:before="240" w:line="360" w:lineRule="auto"/>
        <w:ind w:left="567"/>
        <w:jc w:val="both"/>
        <w:rPr>
          <w:rFonts w:ascii="Times New Roman" w:hAnsi="Times New Roman"/>
          <w:sz w:val="24"/>
          <w:szCs w:val="24"/>
        </w:rPr>
      </w:pPr>
      <w:r w:rsidRPr="00B00BCA">
        <w:rPr>
          <w:rFonts w:ascii="Times New Roman" w:hAnsi="Times New Roman"/>
          <w:sz w:val="24"/>
          <w:szCs w:val="24"/>
        </w:rPr>
        <w:t>It may be noted that emulsifiers are commonly known surfactants.</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lastRenderedPageBreak/>
        <w:t>Further, WO ’764 discloses examples of several compounds stemming from substitution of the above-mentioned (I-1-1). Attention may be drawn to the disclosure at chemical formula 68 (see WO ’764, internal page 120). WO ’764 also discloses the process of arriving at compound disclosed at formula 68, viz. (3R, 11aS)-N-[(2,4-Oifluorophenyl)methyl]-6-hydroxy-3-methyl-5,7-dioxo-2,3,5,7, l1, 1la -hexahydro[1,3]oxazolo[3,2-a]pyrido[1,2-d]pyrazine-8-carboxamide reproduced as below (see WO ’764 at internal page 120):</w:t>
      </w:r>
    </w:p>
    <w:p w:rsidR="002823CB" w:rsidRPr="00E12672" w:rsidRDefault="002823CB" w:rsidP="002823CB">
      <w:pPr>
        <w:pStyle w:val="ListParagraph"/>
        <w:spacing w:before="240" w:line="360" w:lineRule="auto"/>
        <w:ind w:left="1080" w:right="720"/>
        <w:jc w:val="both"/>
        <w:rPr>
          <w:rFonts w:ascii="Times New Roman" w:hAnsi="Times New Roman"/>
          <w:sz w:val="24"/>
          <w:szCs w:val="24"/>
        </w:rPr>
      </w:pPr>
      <w:r w:rsidRPr="00E12672">
        <w:rPr>
          <w:rFonts w:ascii="Times New Roman" w:hAnsi="Times New Roman"/>
          <w:noProof/>
          <w:sz w:val="24"/>
          <w:szCs w:val="24"/>
          <w:lang w:val="en-IN" w:eastAsia="en-IN"/>
        </w:rPr>
        <w:drawing>
          <wp:inline distT="0" distB="0" distL="0" distR="0" wp14:anchorId="2CA5A50B" wp14:editId="69B96BE3">
            <wp:extent cx="4443095" cy="2157095"/>
            <wp:effectExtent l="0" t="0" r="0" b="0"/>
            <wp:docPr id="5" name="Picture 5" descr="https://patentscope.wipo.int/search/docs2/nat/WO2006116764/pic/Y-X0C11dD_GkuD1Sgf_0gMY4d-5FO1s9TWz7oE8oxUfED8fZzpCj3zQ7GkS_hz_-98B9cK6R_GNBx4fM4O9ZmNe6fGnQXRfRDDbXpwCbDqwH02fVFrCXf6FKOs96JUcidYRuHVh4K50q6tTYDC8P1Cp98osxSij78bCKaZHMN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tentscope.wipo.int/search/docs2/nat/WO2006116764/pic/Y-X0C11dD_GkuD1Sgf_0gMY4d-5FO1s9TWz7oE8oxUfED8fZzpCj3zQ7GkS_hz_-98B9cK6R_GNBx4fM4O9ZmNe6fGnQXRfRDDbXpwCbDqwH02fVFrCXf6FKOs96JUcidYRuHVh4K50q6tTYDC8P1Cp98osxSij78bCKaZHMN_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3095" cy="2157095"/>
                    </a:xfrm>
                    <a:prstGeom prst="rect">
                      <a:avLst/>
                    </a:prstGeom>
                    <a:noFill/>
                    <a:ln>
                      <a:noFill/>
                    </a:ln>
                  </pic:spPr>
                </pic:pic>
              </a:graphicData>
            </a:graphic>
          </wp:inline>
        </w:drawing>
      </w:r>
    </w:p>
    <w:p w:rsidR="002823CB" w:rsidRPr="00E12672" w:rsidRDefault="002823CB" w:rsidP="002823CB">
      <w:pPr>
        <w:pStyle w:val="ListParagraph"/>
        <w:spacing w:before="240" w:line="360" w:lineRule="auto"/>
        <w:ind w:left="1080" w:right="720"/>
        <w:jc w:val="both"/>
        <w:rPr>
          <w:rFonts w:ascii="Times New Roman" w:hAnsi="Times New Roman"/>
          <w:sz w:val="24"/>
          <w:szCs w:val="24"/>
        </w:rPr>
      </w:pP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Further, WO ’764 also discloses process of making a sodium salt of the compound Z1 (see WO ’764, internal page 128 at Example Z-1).</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Claim 31 of WO ’764 also claims at compound viz. “</w:t>
      </w:r>
      <w:r w:rsidRPr="00E12672">
        <w:rPr>
          <w:rFonts w:ascii="Times New Roman" w:hAnsi="Times New Roman"/>
          <w:i/>
          <w:sz w:val="24"/>
          <w:szCs w:val="24"/>
        </w:rPr>
        <w:t>(3R, 11aS)-N-[(2,4-Oifluorophenyl)methyl]-6-hydroxy-3-methyl-5,7-dioxo-2,3,5,7, l1, 1la -hexahydro[1,3]oxazolo[3,2-a]pyrido[1,2-d]pyrazine-8-carboxamide</w:t>
      </w:r>
      <w:r w:rsidRPr="00E12672">
        <w:rPr>
          <w:rFonts w:ascii="Times New Roman" w:hAnsi="Times New Roman"/>
          <w:sz w:val="24"/>
          <w:szCs w:val="24"/>
        </w:rPr>
        <w:t xml:space="preserve">”. This is the same compound as disclosed at </w:t>
      </w:r>
      <w:r w:rsidRPr="00E12672">
        <w:rPr>
          <w:rFonts w:ascii="Times New Roman" w:hAnsi="Times New Roman"/>
          <w:i/>
          <w:sz w:val="24"/>
          <w:szCs w:val="24"/>
        </w:rPr>
        <w:t>chemical formula 68</w:t>
      </w:r>
      <w:r w:rsidRPr="00E12672">
        <w:rPr>
          <w:rFonts w:ascii="Times New Roman" w:hAnsi="Times New Roman"/>
          <w:sz w:val="24"/>
          <w:szCs w:val="24"/>
        </w:rPr>
        <w:t>. (See WO ’764, internal page 255)</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Claim 34 of WO ’764 also claims “</w:t>
      </w:r>
      <w:r w:rsidRPr="00E12672">
        <w:rPr>
          <w:rFonts w:ascii="Times New Roman" w:hAnsi="Times New Roman"/>
          <w:i/>
          <w:sz w:val="24"/>
          <w:szCs w:val="24"/>
        </w:rPr>
        <w:t>A pharmaceutical composition comprising a compound according to any one of Claims 1 to 33, or a pharmaceutically acceptable salt, or solvate thereof</w:t>
      </w:r>
      <w:r w:rsidRPr="00E12672">
        <w:rPr>
          <w:rFonts w:ascii="Times New Roman" w:hAnsi="Times New Roman"/>
          <w:sz w:val="24"/>
          <w:szCs w:val="24"/>
        </w:rPr>
        <w:t>.” (See WO ’764, internal page 267)</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WO ’764 further teaches that the composition may be administered orally or parenterally, such as in the form of a tablet or aqueous suspension injectable </w:t>
      </w:r>
      <w:r w:rsidRPr="00E12672">
        <w:rPr>
          <w:rFonts w:ascii="Times New Roman" w:hAnsi="Times New Roman"/>
          <w:sz w:val="24"/>
          <w:szCs w:val="24"/>
        </w:rPr>
        <w:lastRenderedPageBreak/>
        <w:t>or as a nasal drop.</w:t>
      </w:r>
      <w:r w:rsidRPr="00E12672">
        <w:rPr>
          <w:rFonts w:ascii="Times New Roman" w:hAnsi="Times New Roman"/>
          <w:i/>
          <w:sz w:val="24"/>
          <w:szCs w:val="24"/>
        </w:rPr>
        <w:t xml:space="preserve"> </w:t>
      </w:r>
      <w:r w:rsidRPr="00E12672">
        <w:rPr>
          <w:rFonts w:ascii="Times New Roman" w:hAnsi="Times New Roman"/>
          <w:sz w:val="24"/>
          <w:szCs w:val="24"/>
        </w:rPr>
        <w:t>(See WO ’764 at internal page 78, para 5).Further, WO ’764 indicates that the compound disclosed in the specification may be used with conventional excipients, binders, lubricants, aqueous solvents, oily solvents, emulsifiers, suspending agents, preservatives, stabilizers and the like</w:t>
      </w:r>
      <w:r w:rsidRPr="00E12672">
        <w:rPr>
          <w:rFonts w:ascii="Times New Roman" w:hAnsi="Times New Roman"/>
          <w:i/>
          <w:sz w:val="24"/>
          <w:szCs w:val="24"/>
        </w:rPr>
        <w:t xml:space="preserve"> </w:t>
      </w:r>
      <w:r w:rsidRPr="00E12672">
        <w:rPr>
          <w:rFonts w:ascii="Times New Roman" w:hAnsi="Times New Roman"/>
          <w:sz w:val="24"/>
          <w:szCs w:val="24"/>
        </w:rPr>
        <w:t>(See WO ’764 at internal page 78, para 5). In fact, WO ’764 at Claim 35 claims “</w:t>
      </w:r>
      <w:r w:rsidRPr="00E12672">
        <w:rPr>
          <w:rFonts w:ascii="Times New Roman" w:hAnsi="Times New Roman"/>
          <w:i/>
          <w:sz w:val="24"/>
          <w:szCs w:val="24"/>
        </w:rPr>
        <w:t>A pharmaceutical composition according to Claim 34, which is an anti- HIV agent</w:t>
      </w:r>
      <w:r w:rsidRPr="00E12672">
        <w:rPr>
          <w:rFonts w:ascii="Times New Roman" w:hAnsi="Times New Roman"/>
          <w:sz w:val="24"/>
          <w:szCs w:val="24"/>
        </w:rPr>
        <w:t>” (See WO ’764 at internal page 267)</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Further, WO’764 discloses that, “</w:t>
      </w:r>
      <w:r w:rsidRPr="00E12672">
        <w:rPr>
          <w:rFonts w:ascii="Times New Roman" w:hAnsi="Times New Roman"/>
          <w:i/>
          <w:sz w:val="24"/>
          <w:szCs w:val="24"/>
        </w:rPr>
        <w:t>…in the case of parenteral administration, about 0.01mg to 1000mg, preferably about 0.05mg to 500mg is administered per adult a day</w:t>
      </w:r>
      <w:r w:rsidRPr="00E12672">
        <w:rPr>
          <w:rFonts w:ascii="Times New Roman" w:hAnsi="Times New Roman"/>
          <w:sz w:val="24"/>
          <w:szCs w:val="24"/>
        </w:rPr>
        <w:t>.” (See WO ’764, internal page 79, para 1)</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sz w:val="24"/>
          <w:szCs w:val="24"/>
        </w:rPr>
      </w:pPr>
      <w:r w:rsidRPr="00E12672">
        <w:rPr>
          <w:rFonts w:ascii="Times New Roman" w:hAnsi="Times New Roman"/>
          <w:sz w:val="24"/>
          <w:szCs w:val="24"/>
        </w:rPr>
        <w:t>Hence, a person skilled in the art (POSITA) on reading WO ’764 would be taught:</w:t>
      </w:r>
    </w:p>
    <w:p w:rsidR="002823CB" w:rsidRPr="00E12672" w:rsidRDefault="002823CB" w:rsidP="002823CB">
      <w:pPr>
        <w:pStyle w:val="ListParagraph"/>
        <w:numPr>
          <w:ilvl w:val="1"/>
          <w:numId w:val="4"/>
        </w:numPr>
        <w:spacing w:before="240" w:line="360" w:lineRule="auto"/>
        <w:ind w:right="96"/>
        <w:jc w:val="both"/>
        <w:rPr>
          <w:rFonts w:ascii="Times New Roman" w:hAnsi="Times New Roman"/>
          <w:sz w:val="24"/>
          <w:szCs w:val="24"/>
        </w:rPr>
      </w:pPr>
      <w:r w:rsidRPr="00E12672">
        <w:rPr>
          <w:rFonts w:ascii="Times New Roman" w:hAnsi="Times New Roman"/>
          <w:sz w:val="24"/>
          <w:szCs w:val="24"/>
        </w:rPr>
        <w:t xml:space="preserve"> a composition comprising polycyclic carbamoylpyridone derivatives including (3R, 11aS)-N-[(2,4-Oifluorophenyl)methyl]-6-hydroxy-3-methyl-5,7-dioxo-2,3,5,7, l1, 1la -hexahydro[1,3]oxazolo[3,2-a]pyrido[1,2-d]pyrazine-8-carboxamide (or its salt) with conventional excipients, binders, lubricants, aqueous solvents, oily solvents, emulsifiers, suspending agents, preservatives, stabilizers; </w:t>
      </w:r>
    </w:p>
    <w:p w:rsidR="002823CB" w:rsidRPr="00E12672" w:rsidRDefault="002823CB" w:rsidP="002823CB">
      <w:pPr>
        <w:pStyle w:val="ListParagraph"/>
        <w:numPr>
          <w:ilvl w:val="1"/>
          <w:numId w:val="4"/>
        </w:numPr>
        <w:spacing w:before="240" w:line="360" w:lineRule="auto"/>
        <w:ind w:right="96"/>
        <w:jc w:val="both"/>
        <w:rPr>
          <w:rFonts w:ascii="Times New Roman" w:hAnsi="Times New Roman"/>
          <w:sz w:val="24"/>
          <w:szCs w:val="24"/>
        </w:rPr>
      </w:pPr>
      <w:r w:rsidRPr="00E12672">
        <w:rPr>
          <w:rFonts w:ascii="Times New Roman" w:hAnsi="Times New Roman"/>
          <w:sz w:val="24"/>
          <w:szCs w:val="24"/>
        </w:rPr>
        <w:t xml:space="preserve">The above mentioned composition could be used for parenteral administration as an anti-HIV agent; </w:t>
      </w:r>
    </w:p>
    <w:p w:rsidR="002823CB" w:rsidRPr="00216F54" w:rsidRDefault="002823CB" w:rsidP="002823CB">
      <w:pPr>
        <w:pStyle w:val="ListParagraph"/>
        <w:numPr>
          <w:ilvl w:val="1"/>
          <w:numId w:val="4"/>
        </w:numPr>
        <w:spacing w:before="240"/>
        <w:rPr>
          <w:rFonts w:ascii="Times New Roman" w:hAnsi="Times New Roman"/>
          <w:sz w:val="24"/>
          <w:szCs w:val="24"/>
        </w:rPr>
      </w:pPr>
      <w:r w:rsidRPr="00E12672">
        <w:rPr>
          <w:rFonts w:ascii="Times New Roman" w:hAnsi="Times New Roman"/>
          <w:sz w:val="24"/>
          <w:szCs w:val="24"/>
        </w:rPr>
        <w:t>Development of long-acting injectable anti-HIV agents;</w:t>
      </w:r>
    </w:p>
    <w:p w:rsidR="002823CB" w:rsidRDefault="002823CB" w:rsidP="002823CB">
      <w:pPr>
        <w:pStyle w:val="ListParagraph"/>
        <w:numPr>
          <w:ilvl w:val="1"/>
          <w:numId w:val="4"/>
        </w:numPr>
        <w:spacing w:before="240" w:line="360" w:lineRule="auto"/>
        <w:ind w:right="96"/>
        <w:jc w:val="both"/>
        <w:rPr>
          <w:rFonts w:ascii="Times New Roman" w:hAnsi="Times New Roman"/>
          <w:sz w:val="24"/>
          <w:szCs w:val="24"/>
        </w:rPr>
      </w:pPr>
      <w:r w:rsidRPr="00E12672">
        <w:rPr>
          <w:rFonts w:ascii="Times New Roman" w:hAnsi="Times New Roman"/>
          <w:sz w:val="24"/>
          <w:szCs w:val="24"/>
        </w:rPr>
        <w:t>For parenteral administration of the above-disclosed composition, preferred quantity is about 0.05mg to 500mg per day.</w:t>
      </w:r>
    </w:p>
    <w:p w:rsidR="002823CB" w:rsidRDefault="002823CB" w:rsidP="002823CB">
      <w:pPr>
        <w:spacing w:before="240" w:line="360" w:lineRule="auto"/>
        <w:ind w:right="96"/>
        <w:jc w:val="both"/>
        <w:rPr>
          <w:rFonts w:ascii="Times New Roman" w:hAnsi="Times New Roman"/>
          <w:sz w:val="24"/>
          <w:szCs w:val="24"/>
        </w:rPr>
      </w:pPr>
    </w:p>
    <w:p w:rsidR="002823CB" w:rsidRDefault="002823CB" w:rsidP="002823CB">
      <w:pPr>
        <w:spacing w:before="240" w:line="360" w:lineRule="auto"/>
        <w:ind w:right="96"/>
        <w:jc w:val="both"/>
        <w:rPr>
          <w:rFonts w:ascii="Times New Roman" w:hAnsi="Times New Roman"/>
          <w:sz w:val="24"/>
          <w:szCs w:val="24"/>
        </w:rPr>
      </w:pPr>
    </w:p>
    <w:p w:rsidR="002823CB" w:rsidRPr="00FF0971" w:rsidRDefault="002823CB" w:rsidP="002823CB">
      <w:pPr>
        <w:spacing w:before="240" w:line="360" w:lineRule="auto"/>
        <w:ind w:right="96"/>
        <w:jc w:val="both"/>
        <w:rPr>
          <w:rFonts w:ascii="Times New Roman" w:hAnsi="Times New Roman"/>
          <w:sz w:val="24"/>
          <w:szCs w:val="24"/>
        </w:rPr>
      </w:pPr>
    </w:p>
    <w:p w:rsidR="002823CB" w:rsidRPr="00D645FB" w:rsidRDefault="002823CB" w:rsidP="002823CB">
      <w:pPr>
        <w:spacing w:before="240" w:line="360" w:lineRule="auto"/>
        <w:ind w:left="851" w:right="-45" w:hanging="851"/>
        <w:jc w:val="both"/>
        <w:rPr>
          <w:rFonts w:ascii="Times New Roman" w:hAnsi="Times New Roman"/>
          <w:b/>
          <w:sz w:val="24"/>
          <w:szCs w:val="24"/>
          <w:u w:val="single"/>
        </w:rPr>
      </w:pPr>
      <w:r w:rsidRPr="00FF0971">
        <w:rPr>
          <w:rFonts w:ascii="Times New Roman" w:hAnsi="Times New Roman"/>
          <w:b/>
          <w:sz w:val="24"/>
          <w:szCs w:val="24"/>
        </w:rPr>
        <w:lastRenderedPageBreak/>
        <w:t xml:space="preserve">VII.1.b </w:t>
      </w:r>
      <w:proofErr w:type="gramStart"/>
      <w:r w:rsidRPr="00D645FB">
        <w:rPr>
          <w:rFonts w:ascii="Times New Roman" w:hAnsi="Times New Roman"/>
          <w:b/>
          <w:sz w:val="24"/>
          <w:szCs w:val="24"/>
          <w:u w:val="single"/>
        </w:rPr>
        <w:t>That</w:t>
      </w:r>
      <w:proofErr w:type="gramEnd"/>
      <w:r w:rsidRPr="00D645FB">
        <w:rPr>
          <w:rFonts w:ascii="Times New Roman" w:hAnsi="Times New Roman"/>
          <w:b/>
          <w:sz w:val="24"/>
          <w:szCs w:val="24"/>
          <w:u w:val="single"/>
        </w:rPr>
        <w:t xml:space="preserve"> injectable forms of compounds containing carbamoyl group at certain doses as a long acting agent was known</w:t>
      </w:r>
    </w:p>
    <w:p w:rsidR="002823CB" w:rsidRPr="00E12672" w:rsidRDefault="002823CB" w:rsidP="002823CB">
      <w:pPr>
        <w:spacing w:before="240" w:line="360" w:lineRule="auto"/>
        <w:ind w:right="96"/>
        <w:jc w:val="both"/>
        <w:rPr>
          <w:rFonts w:ascii="Times New Roman" w:hAnsi="Times New Roman"/>
          <w:b/>
          <w:caps/>
          <w:sz w:val="24"/>
          <w:szCs w:val="24"/>
        </w:rPr>
      </w:pPr>
      <w:r w:rsidRPr="00E12672">
        <w:rPr>
          <w:rFonts w:ascii="Times New Roman" w:hAnsi="Times New Roman"/>
          <w:b/>
          <w:sz w:val="24"/>
          <w:szCs w:val="24"/>
        </w:rPr>
        <w:t xml:space="preserve">US 2009/0163519 </w:t>
      </w:r>
      <w:r w:rsidRPr="00E12672">
        <w:rPr>
          <w:rFonts w:ascii="Times New Roman" w:hAnsi="Times New Roman"/>
          <w:b/>
          <w:caps/>
          <w:sz w:val="24"/>
          <w:szCs w:val="24"/>
        </w:rPr>
        <w:t xml:space="preserve">A1 </w:t>
      </w:r>
      <w:r w:rsidRPr="00E12672">
        <w:rPr>
          <w:rFonts w:ascii="Times New Roman" w:hAnsi="Times New Roman"/>
          <w:sz w:val="24"/>
          <w:szCs w:val="24"/>
        </w:rPr>
        <w:t>(Published: 25.06.2009)</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The Opponent relies on patent application publication no. US 2009/0163519 (hereinafter “US ’519” and annexed her</w:t>
      </w:r>
      <w:r>
        <w:rPr>
          <w:rFonts w:ascii="Times New Roman" w:hAnsi="Times New Roman"/>
          <w:sz w:val="24"/>
          <w:szCs w:val="24"/>
        </w:rPr>
        <w:t>e</w:t>
      </w:r>
      <w:r w:rsidRPr="00E12672">
        <w:rPr>
          <w:rFonts w:ascii="Times New Roman" w:hAnsi="Times New Roman"/>
          <w:sz w:val="24"/>
          <w:szCs w:val="24"/>
        </w:rPr>
        <w:t xml:space="preserve">with as </w:t>
      </w:r>
      <w:r w:rsidRPr="00E12672">
        <w:rPr>
          <w:rFonts w:ascii="Times New Roman" w:hAnsi="Times New Roman"/>
          <w:b/>
          <w:sz w:val="24"/>
          <w:szCs w:val="24"/>
        </w:rPr>
        <w:t>Exhibit</w:t>
      </w:r>
      <w:r>
        <w:rPr>
          <w:rFonts w:ascii="Times New Roman" w:hAnsi="Times New Roman"/>
          <w:b/>
          <w:sz w:val="24"/>
          <w:szCs w:val="24"/>
        </w:rPr>
        <w:t xml:space="preserve"> B</w:t>
      </w:r>
      <w:r w:rsidRPr="00E12672">
        <w:rPr>
          <w:rFonts w:ascii="Times New Roman" w:hAnsi="Times New Roman"/>
          <w:b/>
          <w:sz w:val="24"/>
          <w:szCs w:val="24"/>
        </w:rPr>
        <w:t>)</w:t>
      </w:r>
      <w:r w:rsidRPr="00E12672">
        <w:rPr>
          <w:rFonts w:ascii="Times New Roman" w:hAnsi="Times New Roman"/>
          <w:sz w:val="24"/>
          <w:szCs w:val="24"/>
        </w:rPr>
        <w:t xml:space="preserve"> titled, “</w:t>
      </w:r>
      <w:r w:rsidRPr="00E12672">
        <w:rPr>
          <w:rFonts w:ascii="Times New Roman" w:hAnsi="Times New Roman"/>
          <w:i/>
          <w:sz w:val="24"/>
          <w:szCs w:val="24"/>
        </w:rPr>
        <w:t xml:space="preserve">Dosing Regimen Associated with long acting injectable Paliperidone Esters” </w:t>
      </w:r>
      <w:r w:rsidRPr="00E12672">
        <w:rPr>
          <w:rFonts w:ascii="Times New Roman" w:hAnsi="Times New Roman"/>
          <w:sz w:val="24"/>
          <w:szCs w:val="24"/>
        </w:rPr>
        <w:t xml:space="preserve">published on 25.06.2009. Given that this document has been published before the date of priority of the present patent, viz. 16.09.2010, this publication can be relied on as prior art for the present patent. </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US ’519 relates to, “</w:t>
      </w:r>
      <w:r w:rsidRPr="00E12672">
        <w:rPr>
          <w:rFonts w:ascii="Times New Roman" w:hAnsi="Times New Roman"/>
          <w:i/>
          <w:sz w:val="24"/>
          <w:szCs w:val="24"/>
        </w:rPr>
        <w:t>a method of treating patients in need of treatment with long acting injectable paliperidone palmitate formulations</w:t>
      </w:r>
      <w:r w:rsidRPr="00E12672">
        <w:rPr>
          <w:rFonts w:ascii="Times New Roman" w:hAnsi="Times New Roman"/>
          <w:sz w:val="24"/>
          <w:szCs w:val="24"/>
        </w:rPr>
        <w:t xml:space="preserve">”. (See US ’519, abstract) </w:t>
      </w:r>
    </w:p>
    <w:p w:rsidR="002823CB" w:rsidRPr="00E12672" w:rsidRDefault="002823CB" w:rsidP="002823CB">
      <w:pPr>
        <w:pStyle w:val="ListParagraph"/>
        <w:numPr>
          <w:ilvl w:val="0"/>
          <w:numId w:val="4"/>
        </w:numPr>
        <w:spacing w:before="240" w:line="360" w:lineRule="auto"/>
        <w:ind w:left="567" w:right="720" w:hanging="567"/>
        <w:jc w:val="both"/>
        <w:rPr>
          <w:rFonts w:ascii="Times New Roman" w:hAnsi="Times New Roman"/>
          <w:b/>
          <w:caps/>
          <w:sz w:val="24"/>
          <w:szCs w:val="24"/>
        </w:rPr>
      </w:pPr>
      <w:r w:rsidRPr="00E12672">
        <w:rPr>
          <w:rFonts w:ascii="Times New Roman" w:hAnsi="Times New Roman"/>
          <w:sz w:val="24"/>
          <w:szCs w:val="24"/>
        </w:rPr>
        <w:t>The structural formula of the compound of the invention in US ’519 is disclosed on internal page 4 and reproduced herein for easy reference:</w:t>
      </w:r>
    </w:p>
    <w:p w:rsidR="002823CB" w:rsidRPr="00E12672" w:rsidRDefault="002823CB" w:rsidP="002823CB">
      <w:pPr>
        <w:pStyle w:val="ListParagraph"/>
        <w:spacing w:before="240" w:line="360" w:lineRule="auto"/>
        <w:ind w:left="1134" w:right="720" w:hanging="567"/>
        <w:jc w:val="both"/>
        <w:rPr>
          <w:rFonts w:ascii="Times New Roman" w:hAnsi="Times New Roman"/>
          <w:b/>
          <w:caps/>
          <w:sz w:val="24"/>
          <w:szCs w:val="24"/>
        </w:rPr>
      </w:pPr>
      <w:r w:rsidRPr="00E12672">
        <w:rPr>
          <w:rFonts w:ascii="Times New Roman" w:hAnsi="Times New Roman"/>
          <w:b/>
          <w:caps/>
          <w:noProof/>
          <w:sz w:val="24"/>
          <w:szCs w:val="24"/>
          <w:lang w:val="en-IN" w:eastAsia="en-IN"/>
        </w:rPr>
        <w:drawing>
          <wp:inline distT="0" distB="0" distL="0" distR="0" wp14:anchorId="24D3B755" wp14:editId="692CF4CB">
            <wp:extent cx="2406770" cy="138777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6562" cy="1387651"/>
                    </a:xfrm>
                    <a:prstGeom prst="rect">
                      <a:avLst/>
                    </a:prstGeom>
                    <a:noFill/>
                    <a:ln>
                      <a:noFill/>
                    </a:ln>
                  </pic:spPr>
                </pic:pic>
              </a:graphicData>
            </a:graphic>
          </wp:inline>
        </w:drawing>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caps/>
          <w:sz w:val="24"/>
          <w:szCs w:val="24"/>
        </w:rPr>
      </w:pPr>
      <w:r w:rsidRPr="00E12672">
        <w:rPr>
          <w:rFonts w:ascii="Times New Roman" w:hAnsi="Times New Roman"/>
          <w:sz w:val="24"/>
          <w:szCs w:val="24"/>
        </w:rPr>
        <w:t>From the above structure it may be seen that the compound of the invention disclosed in US ’519 consists of a carbamoyl group.</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 xml:space="preserve">US ’519 </w:t>
      </w:r>
      <w:proofErr w:type="gramStart"/>
      <w:r w:rsidRPr="00E12672">
        <w:rPr>
          <w:rFonts w:ascii="Times New Roman" w:hAnsi="Times New Roman"/>
          <w:sz w:val="24"/>
          <w:szCs w:val="24"/>
        </w:rPr>
        <w:t>discloses</w:t>
      </w:r>
      <w:proofErr w:type="gramEnd"/>
      <w:r w:rsidRPr="00E12672">
        <w:rPr>
          <w:rFonts w:ascii="Times New Roman" w:hAnsi="Times New Roman"/>
          <w:sz w:val="24"/>
          <w:szCs w:val="24"/>
        </w:rPr>
        <w:t xml:space="preserve"> “</w:t>
      </w:r>
      <w:r w:rsidRPr="00E12672">
        <w:rPr>
          <w:rFonts w:ascii="Times New Roman" w:hAnsi="Times New Roman"/>
          <w:i/>
          <w:sz w:val="24"/>
          <w:szCs w:val="24"/>
        </w:rPr>
        <w:t>Paliperidone palmitate injection has been developed to provide sustained plasma concentrations of palileridone when administered once monthly, which may greatly enhance compliance with dosing.</w:t>
      </w:r>
      <w:r w:rsidRPr="00E12672">
        <w:rPr>
          <w:rFonts w:ascii="Times New Roman" w:hAnsi="Times New Roman"/>
          <w:sz w:val="24"/>
          <w:szCs w:val="24"/>
        </w:rPr>
        <w:t xml:space="preserve">” (See US ’519, internal page 1, para 0006). In fact is discloses a preferred embodiment wherein paliperidone palmitate is administered by intramuscular injection once per month (see US ’519, internal page 7, para </w:t>
      </w:r>
      <w:r w:rsidRPr="00E12672">
        <w:rPr>
          <w:rFonts w:ascii="Times New Roman" w:hAnsi="Times New Roman"/>
          <w:sz w:val="24"/>
          <w:szCs w:val="24"/>
        </w:rPr>
        <w:lastRenderedPageBreak/>
        <w:t xml:space="preserve">0059). Further reading of claims 1, 2, 4, 26, 27, 29, indicate that the claimed dose can be formulated in a sustained release formulation (See US ’519, internal pages 16, 17, 19).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US ’519 discloses that one of the embodiments of the invention, “</w:t>
      </w:r>
      <w:r w:rsidRPr="00E12672">
        <w:rPr>
          <w:rFonts w:ascii="Times New Roman" w:hAnsi="Times New Roman"/>
          <w:i/>
          <w:sz w:val="24"/>
          <w:szCs w:val="24"/>
        </w:rPr>
        <w:t xml:space="preserve">would comprise nanoparticles, a surfactant, a suspending agent, and optionally one or more additional ingredients selected from the group consisting of preservatives, buffer and an isotonizing agents,” (sic) </w:t>
      </w:r>
      <w:r w:rsidRPr="00E12672">
        <w:rPr>
          <w:rFonts w:ascii="Times New Roman" w:hAnsi="Times New Roman"/>
          <w:sz w:val="24"/>
          <w:szCs w:val="24"/>
        </w:rPr>
        <w:t>(See US ’519, internal page 4, para 0032).</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Of the identified components of the embodiment US ’519 discloses that, “</w:t>
      </w:r>
      <w:r w:rsidRPr="00E12672">
        <w:rPr>
          <w:rFonts w:ascii="Times New Roman" w:hAnsi="Times New Roman"/>
          <w:i/>
          <w:sz w:val="24"/>
          <w:szCs w:val="24"/>
        </w:rPr>
        <w:t xml:space="preserve">Suitable suspending agents for use in the aqueous suspensions according to the present invention are cellulose derivatives, e.g. methyl cellulose, sodium carboxymethyl cellulose and hydroxypropyl methyl cellulose, polyvinylpyrrolidone, alginates, chitosan, dextrans, gelatin, </w:t>
      </w:r>
      <w:r w:rsidRPr="00E12672">
        <w:rPr>
          <w:rFonts w:ascii="Times New Roman" w:hAnsi="Times New Roman"/>
          <w:i/>
          <w:sz w:val="24"/>
          <w:szCs w:val="24"/>
          <w:u w:val="single"/>
        </w:rPr>
        <w:t>polyethylene glycol</w:t>
      </w:r>
      <w:r w:rsidRPr="00E12672">
        <w:rPr>
          <w:rFonts w:ascii="Times New Roman" w:hAnsi="Times New Roman"/>
          <w:i/>
          <w:sz w:val="24"/>
          <w:szCs w:val="24"/>
        </w:rPr>
        <w:t xml:space="preserve">s, polyoxyethylene- and polyoxy- propylene ethers.” </w:t>
      </w:r>
      <w:r w:rsidRPr="00E12672">
        <w:rPr>
          <w:rFonts w:ascii="Times New Roman" w:hAnsi="Times New Roman"/>
          <w:sz w:val="24"/>
          <w:szCs w:val="24"/>
        </w:rPr>
        <w:t>(emphasis supplied, See US ’519 at internal page 5, para [0049])</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 xml:space="preserve">Further, US ’519 also states that, </w:t>
      </w:r>
      <w:r w:rsidRPr="00E12672">
        <w:rPr>
          <w:rFonts w:ascii="Times New Roman" w:hAnsi="Times New Roman"/>
          <w:i/>
          <w:sz w:val="24"/>
          <w:szCs w:val="24"/>
        </w:rPr>
        <w:t xml:space="preserve">“Suitable wetting agents for use in the aqueous suspensions according to the present invention are polyoxyethylene derivatives of sorbitan esters, e.g. </w:t>
      </w:r>
      <w:r w:rsidRPr="00E12672">
        <w:rPr>
          <w:rFonts w:ascii="Times New Roman" w:hAnsi="Times New Roman"/>
          <w:i/>
          <w:sz w:val="24"/>
          <w:szCs w:val="24"/>
          <w:u w:val="single"/>
        </w:rPr>
        <w:t>polysorbate 20</w:t>
      </w:r>
      <w:r w:rsidRPr="00E12672">
        <w:rPr>
          <w:rFonts w:ascii="Times New Roman" w:hAnsi="Times New Roman"/>
          <w:i/>
          <w:sz w:val="24"/>
          <w:szCs w:val="24"/>
        </w:rPr>
        <w:t xml:space="preserve"> and polysorbate 80, lecithin, </w:t>
      </w:r>
      <w:r w:rsidRPr="00E12672">
        <w:rPr>
          <w:rFonts w:ascii="Times New Roman" w:hAnsi="Times New Roman"/>
          <w:i/>
          <w:sz w:val="24"/>
          <w:szCs w:val="24"/>
          <w:u w:val="single"/>
        </w:rPr>
        <w:t>polyoxyethylene</w:t>
      </w:r>
      <w:r w:rsidRPr="00E12672">
        <w:rPr>
          <w:rFonts w:ascii="Times New Roman" w:hAnsi="Times New Roman"/>
          <w:i/>
          <w:sz w:val="24"/>
          <w:szCs w:val="24"/>
        </w:rPr>
        <w:t>- and polyoxypropylene ethers, sodium deoxycholate.</w:t>
      </w:r>
      <w:r w:rsidRPr="00E12672">
        <w:rPr>
          <w:rFonts w:ascii="Times New Roman" w:hAnsi="Times New Roman"/>
          <w:sz w:val="24"/>
          <w:szCs w:val="24"/>
        </w:rPr>
        <w:t>” (</w:t>
      </w:r>
      <w:proofErr w:type="gramStart"/>
      <w:r w:rsidRPr="00E12672">
        <w:rPr>
          <w:rFonts w:ascii="Times New Roman" w:hAnsi="Times New Roman"/>
          <w:sz w:val="24"/>
          <w:szCs w:val="24"/>
        </w:rPr>
        <w:t>emphasis</w:t>
      </w:r>
      <w:proofErr w:type="gramEnd"/>
      <w:r w:rsidRPr="00E12672">
        <w:rPr>
          <w:rFonts w:ascii="Times New Roman" w:hAnsi="Times New Roman"/>
          <w:sz w:val="24"/>
          <w:szCs w:val="24"/>
        </w:rPr>
        <w:t xml:space="preserve"> supplied, See US ’519 at internal page 5, para [0051]).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 xml:space="preserve">US ’519 states that one of the preferred method is administration of paliperidone palmitate by intramuscular injection, intended to release over a period of one month. (See US ’519 at internal page 6, para [0059] and page 10, para [0099]).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Claim 1 of US ’519 claim “</w:t>
      </w:r>
      <w:r w:rsidRPr="00E12672">
        <w:rPr>
          <w:rFonts w:ascii="Times New Roman" w:hAnsi="Times New Roman"/>
          <w:i/>
          <w:sz w:val="24"/>
          <w:szCs w:val="24"/>
        </w:rPr>
        <w:t xml:space="preserve"> A dosing regimen for administering paliperidone palmitate to a psychiatric patient in need of treatment comprising </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i/>
          <w:sz w:val="24"/>
          <w:szCs w:val="24"/>
        </w:rPr>
        <w:t xml:space="preserve">Administering intramuscularly in the deltoid of a patient in need of treatment a first loading dose of from about 100 mg-eq. to about 150 </w:t>
      </w:r>
      <w:r w:rsidRPr="00E12672">
        <w:rPr>
          <w:rFonts w:ascii="Times New Roman" w:hAnsi="Times New Roman"/>
          <w:i/>
          <w:sz w:val="24"/>
          <w:szCs w:val="24"/>
        </w:rPr>
        <w:lastRenderedPageBreak/>
        <w:t xml:space="preserve">mg-eq. of paliperidone as paliperidone palmitate formulated in a sustained </w:t>
      </w:r>
      <w:r w:rsidRPr="00E12672">
        <w:rPr>
          <w:rFonts w:ascii="Times New Roman" w:hAnsi="Times New Roman"/>
          <w:sz w:val="24"/>
          <w:szCs w:val="24"/>
        </w:rPr>
        <w:t>release formulation on the first day of treatment;</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i/>
          <w:sz w:val="24"/>
          <w:szCs w:val="24"/>
        </w:rPr>
        <w:t xml:space="preserve">Administering intramuscularly in the deltoid muscle of the patient in need of treatment a second loading dose of from about 100 mg-eq. to about 150 mg-eq. of paliperidone as paliperidone palmitate formulated in a sustained </w:t>
      </w:r>
      <w:r w:rsidRPr="00E12672">
        <w:rPr>
          <w:rFonts w:ascii="Times New Roman" w:hAnsi="Times New Roman"/>
          <w:sz w:val="24"/>
          <w:szCs w:val="24"/>
        </w:rPr>
        <w:t>release formulation on the 6</w:t>
      </w:r>
      <w:r w:rsidRPr="00E12672">
        <w:rPr>
          <w:rFonts w:ascii="Times New Roman" w:hAnsi="Times New Roman"/>
          <w:sz w:val="24"/>
          <w:szCs w:val="24"/>
          <w:vertAlign w:val="superscript"/>
        </w:rPr>
        <w:t>th</w:t>
      </w:r>
      <w:r w:rsidRPr="00E12672">
        <w:rPr>
          <w:rFonts w:ascii="Times New Roman" w:hAnsi="Times New Roman"/>
          <w:sz w:val="24"/>
          <w:szCs w:val="24"/>
        </w:rPr>
        <w:t xml:space="preserve"> to about 10</w:t>
      </w:r>
      <w:r w:rsidRPr="00E12672">
        <w:rPr>
          <w:rFonts w:ascii="Times New Roman" w:hAnsi="Times New Roman"/>
          <w:sz w:val="24"/>
          <w:szCs w:val="24"/>
          <w:vertAlign w:val="superscript"/>
        </w:rPr>
        <w:t>th</w:t>
      </w:r>
      <w:r w:rsidRPr="00E12672">
        <w:rPr>
          <w:rFonts w:ascii="Times New Roman" w:hAnsi="Times New Roman"/>
          <w:sz w:val="24"/>
          <w:szCs w:val="24"/>
        </w:rPr>
        <w:t xml:space="preserve"> day of treatment; and </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i/>
          <w:sz w:val="24"/>
          <w:szCs w:val="24"/>
        </w:rPr>
        <w:t xml:space="preserve"> Administering intramuscularly in the deltoid or gluteal muscle of the patient in need of treatment a maintenance dose of about 25 mg-eq. to about 150 mg-eq. of paliperidone as paliperidone palmitate in a sustained </w:t>
      </w:r>
      <w:r w:rsidRPr="00E12672">
        <w:rPr>
          <w:rFonts w:ascii="Times New Roman" w:hAnsi="Times New Roman"/>
          <w:sz w:val="24"/>
          <w:szCs w:val="24"/>
        </w:rPr>
        <w:t>release formulation on about the 34</w:t>
      </w:r>
      <w:r w:rsidRPr="00E12672">
        <w:rPr>
          <w:rFonts w:ascii="Times New Roman" w:hAnsi="Times New Roman"/>
          <w:sz w:val="24"/>
          <w:szCs w:val="24"/>
          <w:vertAlign w:val="superscript"/>
        </w:rPr>
        <w:t>th</w:t>
      </w:r>
      <w:r w:rsidRPr="00E12672">
        <w:rPr>
          <w:rFonts w:ascii="Times New Roman" w:hAnsi="Times New Roman"/>
          <w:sz w:val="24"/>
          <w:szCs w:val="24"/>
        </w:rPr>
        <w:t xml:space="preserve"> to about 38</w:t>
      </w:r>
      <w:r w:rsidRPr="00E12672">
        <w:rPr>
          <w:rFonts w:ascii="Times New Roman" w:hAnsi="Times New Roman"/>
          <w:sz w:val="24"/>
          <w:szCs w:val="24"/>
          <w:vertAlign w:val="superscript"/>
        </w:rPr>
        <w:t>th</w:t>
      </w:r>
      <w:r w:rsidRPr="00E12672">
        <w:rPr>
          <w:rFonts w:ascii="Times New Roman" w:hAnsi="Times New Roman"/>
          <w:sz w:val="24"/>
          <w:szCs w:val="24"/>
        </w:rPr>
        <w:t xml:space="preserve"> day of treatment.” (See US ’519, internal page 16).</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Claim 2 of US ’519 claims “</w:t>
      </w:r>
      <w:r w:rsidRPr="00E12672">
        <w:rPr>
          <w:rFonts w:ascii="Times New Roman" w:hAnsi="Times New Roman"/>
          <w:i/>
          <w:sz w:val="24"/>
          <w:szCs w:val="24"/>
        </w:rPr>
        <w:t>The method of claim 1 wherein the maintenance dose of a sustained release formulation of paliperidone palmitate is administered monthly in the deltoid or gluteal muscle of the psychiatric patient in need after the 30</w:t>
      </w:r>
      <w:r w:rsidRPr="00E12672">
        <w:rPr>
          <w:rFonts w:ascii="Times New Roman" w:hAnsi="Times New Roman"/>
          <w:i/>
          <w:sz w:val="24"/>
          <w:szCs w:val="24"/>
          <w:vertAlign w:val="superscript"/>
        </w:rPr>
        <w:t>th</w:t>
      </w:r>
      <w:r w:rsidRPr="00E12672">
        <w:rPr>
          <w:rFonts w:ascii="Times New Roman" w:hAnsi="Times New Roman"/>
          <w:i/>
          <w:sz w:val="24"/>
          <w:szCs w:val="24"/>
        </w:rPr>
        <w:t xml:space="preserve"> day of treatment”. </w:t>
      </w:r>
      <w:r w:rsidRPr="00E12672">
        <w:rPr>
          <w:rFonts w:ascii="Times New Roman" w:hAnsi="Times New Roman"/>
          <w:sz w:val="24"/>
          <w:szCs w:val="24"/>
        </w:rPr>
        <w:t>(See US ’519, internal page 17).</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In fact, one of the disclosed formulations includes polysorbate 20 and polyethylene glycol 4000 as a part of the formulation. (See US ’519, internal page 8, Table 2)</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US ’519 elaborates that “</w:t>
      </w:r>
      <w:r w:rsidRPr="00E12672">
        <w:rPr>
          <w:rFonts w:ascii="Times New Roman" w:hAnsi="Times New Roman"/>
          <w:i/>
          <w:sz w:val="24"/>
          <w:szCs w:val="24"/>
        </w:rPr>
        <w:t>The rate of dissolution is governed by the particle size distribution whereby it was experimentally determined that an optimal particle size range is contained within xx-yy microm (d</w:t>
      </w:r>
      <w:r w:rsidRPr="00E12672">
        <w:rPr>
          <w:rFonts w:ascii="Times New Roman" w:hAnsi="Times New Roman"/>
          <w:i/>
          <w:sz w:val="24"/>
          <w:szCs w:val="24"/>
          <w:vertAlign w:val="subscript"/>
        </w:rPr>
        <w:t>50v</w:t>
      </w:r>
      <w:r w:rsidRPr="00E12672">
        <w:rPr>
          <w:rFonts w:ascii="Times New Roman" w:hAnsi="Times New Roman"/>
          <w:i/>
          <w:sz w:val="24"/>
          <w:szCs w:val="24"/>
        </w:rPr>
        <w:t xml:space="preserve">).In fact, the rate of dissolution (and thus the particle size distribution) fully determines the in vivo behaviour, as was nicely demonstrated in study PSY-1002. </w:t>
      </w:r>
      <w:r w:rsidRPr="00E12672">
        <w:rPr>
          <w:rFonts w:ascii="Times New Roman" w:hAnsi="Times New Roman"/>
          <w:i/>
          <w:sz w:val="24"/>
          <w:szCs w:val="24"/>
          <w:u w:val="single"/>
        </w:rPr>
        <w:t>It was found that median C</w:t>
      </w:r>
      <w:r w:rsidRPr="00E12672">
        <w:rPr>
          <w:rFonts w:ascii="Times New Roman" w:hAnsi="Times New Roman"/>
          <w:i/>
          <w:sz w:val="24"/>
          <w:szCs w:val="24"/>
          <w:u w:val="single"/>
          <w:vertAlign w:val="subscript"/>
        </w:rPr>
        <w:t xml:space="preserve">max </w:t>
      </w:r>
      <w:r w:rsidRPr="00E12672">
        <w:rPr>
          <w:rFonts w:ascii="Times New Roman" w:hAnsi="Times New Roman"/>
          <w:i/>
          <w:sz w:val="24"/>
          <w:szCs w:val="24"/>
          <w:u w:val="single"/>
        </w:rPr>
        <w:t>increases and t</w:t>
      </w:r>
      <w:r w:rsidRPr="00E12672">
        <w:rPr>
          <w:rFonts w:ascii="Times New Roman" w:hAnsi="Times New Roman"/>
          <w:i/>
          <w:sz w:val="24"/>
          <w:szCs w:val="24"/>
          <w:u w:val="single"/>
          <w:vertAlign w:val="subscript"/>
        </w:rPr>
        <w:t>max</w:t>
      </w:r>
      <w:r w:rsidRPr="00E12672">
        <w:rPr>
          <w:rFonts w:ascii="Times New Roman" w:hAnsi="Times New Roman"/>
          <w:i/>
          <w:sz w:val="24"/>
          <w:szCs w:val="24"/>
          <w:u w:val="single"/>
        </w:rPr>
        <w:t xml:space="preserve"> shortens with decreasing particle size, which is consistent with the hypothesis that particle size is driving the release rate</w:t>
      </w:r>
      <w:r w:rsidRPr="00E12672">
        <w:rPr>
          <w:rFonts w:ascii="Times New Roman" w:hAnsi="Times New Roman"/>
          <w:i/>
          <w:sz w:val="24"/>
          <w:szCs w:val="24"/>
        </w:rPr>
        <w:t>”</w:t>
      </w:r>
      <w:r w:rsidRPr="00E12672">
        <w:rPr>
          <w:rFonts w:ascii="Times New Roman" w:hAnsi="Times New Roman"/>
          <w:sz w:val="24"/>
          <w:szCs w:val="24"/>
        </w:rPr>
        <w:t xml:space="preserve">. (See US ’519 at internal page 10, para [0099]) </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US ’519 specifies, “</w:t>
      </w:r>
      <w:r w:rsidRPr="00E12672">
        <w:rPr>
          <w:rFonts w:ascii="Times New Roman" w:hAnsi="Times New Roman"/>
          <w:i/>
          <w:sz w:val="24"/>
          <w:szCs w:val="24"/>
        </w:rPr>
        <w:t>Suitable concentrations of paliperidone palmitate in compositions vary between 0.1 to 60%, preferably is from 0.5 to 30% (w/v)</w:t>
      </w:r>
      <w:r w:rsidRPr="00E12672">
        <w:rPr>
          <w:rFonts w:ascii="Times New Roman" w:hAnsi="Times New Roman"/>
          <w:sz w:val="24"/>
          <w:szCs w:val="24"/>
        </w:rPr>
        <w:t>”. (See US ’519 at internal page 5, para 0040).</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lastRenderedPageBreak/>
        <w:t xml:space="preserve">Further, US ’519 explained about the composition of dosage that is, </w:t>
      </w:r>
      <w:r w:rsidRPr="00E12672">
        <w:rPr>
          <w:rFonts w:ascii="Times New Roman" w:hAnsi="Times New Roman"/>
          <w:i/>
          <w:sz w:val="24"/>
          <w:szCs w:val="24"/>
        </w:rPr>
        <w:t xml:space="preserve">“The preferred aqueous dosage form contains inactive ingredients that are </w:t>
      </w:r>
      <w:r w:rsidRPr="00E12672">
        <w:rPr>
          <w:rFonts w:ascii="Times New Roman" w:hAnsi="Times New Roman"/>
          <w:i/>
          <w:sz w:val="24"/>
          <w:szCs w:val="24"/>
          <w:u w:val="single"/>
        </w:rPr>
        <w:t>polysorbate 20</w:t>
      </w:r>
      <w:r w:rsidRPr="00E12672">
        <w:rPr>
          <w:rFonts w:ascii="Times New Roman" w:hAnsi="Times New Roman"/>
          <w:i/>
          <w:sz w:val="24"/>
          <w:szCs w:val="24"/>
        </w:rPr>
        <w:t xml:space="preserve">, </w:t>
      </w:r>
      <w:r w:rsidRPr="00E12672">
        <w:rPr>
          <w:rFonts w:ascii="Times New Roman" w:hAnsi="Times New Roman"/>
          <w:i/>
          <w:sz w:val="24"/>
          <w:szCs w:val="24"/>
          <w:u w:val="single"/>
        </w:rPr>
        <w:t>polyethylene glycol 4000</w:t>
      </w:r>
      <w:r w:rsidRPr="00E12672">
        <w:rPr>
          <w:rFonts w:ascii="Times New Roman" w:hAnsi="Times New Roman"/>
          <w:i/>
          <w:sz w:val="24"/>
          <w:szCs w:val="24"/>
        </w:rPr>
        <w:t xml:space="preserve">, citric acid monohydrate, disodium hydrogen phosphate anhydrous, sodium dihydrogen phosphate monohydrate, sodium hydroxide, and </w:t>
      </w:r>
      <w:r w:rsidRPr="00E12672">
        <w:rPr>
          <w:rFonts w:ascii="Times New Roman" w:hAnsi="Times New Roman"/>
          <w:i/>
          <w:sz w:val="24"/>
          <w:szCs w:val="24"/>
          <w:u w:val="single"/>
        </w:rPr>
        <w:t>water for injection</w:t>
      </w:r>
      <w:r w:rsidRPr="00E12672">
        <w:rPr>
          <w:rFonts w:ascii="Times New Roman" w:hAnsi="Times New Roman"/>
          <w:i/>
          <w:sz w:val="24"/>
          <w:szCs w:val="24"/>
        </w:rPr>
        <w:t xml:space="preserve">. </w:t>
      </w:r>
      <w:r w:rsidRPr="00E12672">
        <w:rPr>
          <w:rFonts w:ascii="Times New Roman" w:hAnsi="Times New Roman"/>
          <w:i/>
          <w:sz w:val="24"/>
          <w:szCs w:val="24"/>
          <w:u w:val="single"/>
        </w:rPr>
        <w:t xml:space="preserve">The mg of compound delivered in such a dosage form to the patient may be from 25 to about 150 mg (e.g. 25 mg, 50 mg, 75 mg, 100 mg, </w:t>
      </w:r>
      <w:proofErr w:type="gramStart"/>
      <w:r w:rsidRPr="00E12672">
        <w:rPr>
          <w:rFonts w:ascii="Times New Roman" w:hAnsi="Times New Roman"/>
          <w:i/>
          <w:sz w:val="24"/>
          <w:szCs w:val="24"/>
          <w:u w:val="single"/>
        </w:rPr>
        <w:t>150</w:t>
      </w:r>
      <w:proofErr w:type="gramEnd"/>
      <w:r w:rsidRPr="00E12672">
        <w:rPr>
          <w:rFonts w:ascii="Times New Roman" w:hAnsi="Times New Roman"/>
          <w:i/>
          <w:sz w:val="24"/>
          <w:szCs w:val="24"/>
          <w:u w:val="single"/>
        </w:rPr>
        <w:t xml:space="preserve"> mg) injectable dosage form. </w:t>
      </w:r>
      <w:r w:rsidRPr="00E12672">
        <w:rPr>
          <w:rFonts w:ascii="Times New Roman" w:hAnsi="Times New Roman"/>
          <w:sz w:val="24"/>
          <w:szCs w:val="24"/>
          <w:u w:val="single"/>
        </w:rPr>
        <w:t>(</w:t>
      </w:r>
      <w:r w:rsidRPr="00E12672">
        <w:rPr>
          <w:rFonts w:ascii="Times New Roman" w:hAnsi="Times New Roman"/>
          <w:sz w:val="24"/>
          <w:szCs w:val="24"/>
        </w:rPr>
        <w:t>See US ’519 at internal page 6, para [0055])</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Thus, US ’519 teaches that a long acting parenteral formulation may include nanoparticles of the components, </w:t>
      </w:r>
      <w:r w:rsidRPr="00E12672">
        <w:rPr>
          <w:rFonts w:ascii="Times New Roman" w:hAnsi="Times New Roman"/>
          <w:i/>
          <w:sz w:val="24"/>
          <w:szCs w:val="24"/>
        </w:rPr>
        <w:t xml:space="preserve">nanoparticles, </w:t>
      </w:r>
      <w:r w:rsidRPr="00E12672">
        <w:rPr>
          <w:rFonts w:ascii="Times New Roman" w:hAnsi="Times New Roman"/>
          <w:sz w:val="24"/>
          <w:szCs w:val="24"/>
        </w:rPr>
        <w:t xml:space="preserve">suspending </w:t>
      </w:r>
      <w:proofErr w:type="gramStart"/>
      <w:r w:rsidRPr="00E12672">
        <w:rPr>
          <w:rFonts w:ascii="Times New Roman" w:hAnsi="Times New Roman"/>
          <w:sz w:val="24"/>
          <w:szCs w:val="24"/>
        </w:rPr>
        <w:t>agent(</w:t>
      </w:r>
      <w:proofErr w:type="gramEnd"/>
      <w:r w:rsidRPr="00E12672">
        <w:rPr>
          <w:rFonts w:ascii="Times New Roman" w:hAnsi="Times New Roman"/>
          <w:sz w:val="24"/>
          <w:szCs w:val="24"/>
        </w:rPr>
        <w:t xml:space="preserve">which could be </w:t>
      </w:r>
      <w:r w:rsidRPr="00E12672">
        <w:rPr>
          <w:rFonts w:ascii="Times New Roman" w:hAnsi="Times New Roman"/>
          <w:sz w:val="24"/>
          <w:szCs w:val="24"/>
          <w:u w:val="single"/>
        </w:rPr>
        <w:t>polyethylene glycol</w:t>
      </w:r>
      <w:r w:rsidRPr="00E12672">
        <w:rPr>
          <w:rFonts w:ascii="Times New Roman" w:hAnsi="Times New Roman"/>
          <w:sz w:val="24"/>
          <w:szCs w:val="24"/>
        </w:rPr>
        <w:t xml:space="preserve">) </w:t>
      </w:r>
      <w:r w:rsidRPr="00E12672">
        <w:rPr>
          <w:rFonts w:ascii="Times New Roman" w:hAnsi="Times New Roman"/>
          <w:i/>
          <w:sz w:val="24"/>
          <w:szCs w:val="24"/>
        </w:rPr>
        <w:t>,</w:t>
      </w:r>
      <w:r w:rsidRPr="00E12672">
        <w:rPr>
          <w:rFonts w:ascii="Times New Roman" w:hAnsi="Times New Roman"/>
          <w:sz w:val="24"/>
          <w:szCs w:val="24"/>
        </w:rPr>
        <w:t xml:space="preserve"> a wetting agent (which could be polysorbate 20. Further, a POSITA on reading this document would is taught that particle size distribution impacts the </w:t>
      </w:r>
      <w:r w:rsidRPr="00E12672">
        <w:rPr>
          <w:rFonts w:ascii="Times New Roman" w:hAnsi="Times New Roman"/>
          <w:i/>
          <w:sz w:val="24"/>
          <w:szCs w:val="24"/>
        </w:rPr>
        <w:t xml:space="preserve">in vivo </w:t>
      </w:r>
      <w:r w:rsidRPr="00E12672">
        <w:rPr>
          <w:rFonts w:ascii="Times New Roman" w:hAnsi="Times New Roman"/>
          <w:sz w:val="24"/>
          <w:szCs w:val="24"/>
        </w:rPr>
        <w:t>activity of the formulation.</w:t>
      </w:r>
      <w:r w:rsidRPr="00E12672">
        <w:rPr>
          <w:rFonts w:ascii="Times New Roman" w:hAnsi="Times New Roman"/>
          <w:i/>
          <w:sz w:val="24"/>
          <w:szCs w:val="24"/>
        </w:rPr>
        <w:t xml:space="preserve"> </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Hence on reading US’519 a POSITA would be taught that:</w:t>
      </w:r>
    </w:p>
    <w:p w:rsidR="002823CB" w:rsidRPr="00E12672" w:rsidRDefault="002823CB" w:rsidP="002823CB">
      <w:pPr>
        <w:pStyle w:val="ListParagraph"/>
        <w:numPr>
          <w:ilvl w:val="1"/>
          <w:numId w:val="4"/>
        </w:numPr>
        <w:spacing w:before="240" w:line="360" w:lineRule="auto"/>
        <w:ind w:left="1134" w:right="96"/>
        <w:jc w:val="both"/>
        <w:rPr>
          <w:rFonts w:ascii="Times New Roman" w:hAnsi="Times New Roman"/>
          <w:b/>
          <w:caps/>
          <w:sz w:val="24"/>
          <w:szCs w:val="24"/>
        </w:rPr>
      </w:pPr>
      <w:r w:rsidRPr="00E12672">
        <w:rPr>
          <w:rFonts w:ascii="Times New Roman" w:hAnsi="Times New Roman"/>
          <w:sz w:val="24"/>
          <w:szCs w:val="24"/>
        </w:rPr>
        <w:t xml:space="preserve">Developing long acting drugs is a solution for better compliance; </w:t>
      </w:r>
    </w:p>
    <w:p w:rsidR="002823CB" w:rsidRPr="00E12672" w:rsidRDefault="002823CB" w:rsidP="002823CB">
      <w:pPr>
        <w:pStyle w:val="ListParagraph"/>
        <w:numPr>
          <w:ilvl w:val="1"/>
          <w:numId w:val="4"/>
        </w:numPr>
        <w:spacing w:before="240" w:line="360" w:lineRule="auto"/>
        <w:ind w:left="1134" w:right="96"/>
        <w:jc w:val="both"/>
        <w:rPr>
          <w:rFonts w:ascii="Times New Roman" w:hAnsi="Times New Roman"/>
          <w:b/>
          <w:caps/>
          <w:sz w:val="24"/>
          <w:szCs w:val="24"/>
        </w:rPr>
      </w:pPr>
      <w:r w:rsidRPr="00E12672">
        <w:rPr>
          <w:rFonts w:ascii="Times New Roman" w:hAnsi="Times New Roman"/>
          <w:sz w:val="24"/>
          <w:szCs w:val="24"/>
        </w:rPr>
        <w:t xml:space="preserve">Particle size impacts the </w:t>
      </w:r>
      <w:r w:rsidRPr="00E12672">
        <w:rPr>
          <w:rFonts w:ascii="Times New Roman" w:hAnsi="Times New Roman"/>
          <w:i/>
          <w:sz w:val="24"/>
          <w:szCs w:val="24"/>
        </w:rPr>
        <w:t xml:space="preserve">in vivo </w:t>
      </w:r>
      <w:r w:rsidRPr="00E12672">
        <w:rPr>
          <w:rFonts w:ascii="Times New Roman" w:hAnsi="Times New Roman"/>
          <w:sz w:val="24"/>
          <w:szCs w:val="24"/>
        </w:rPr>
        <w:t>behaviour of the drug thereby motivating experimentation on particle size of components of injectable forms;</w:t>
      </w:r>
    </w:p>
    <w:p w:rsidR="002823CB" w:rsidRPr="00E12672" w:rsidRDefault="002823CB" w:rsidP="002823CB">
      <w:pPr>
        <w:pStyle w:val="ListParagraph"/>
        <w:numPr>
          <w:ilvl w:val="1"/>
          <w:numId w:val="4"/>
        </w:numPr>
        <w:spacing w:before="240" w:line="360" w:lineRule="auto"/>
        <w:ind w:left="1134" w:right="96"/>
        <w:jc w:val="both"/>
        <w:rPr>
          <w:rFonts w:ascii="Times New Roman" w:hAnsi="Times New Roman"/>
          <w:sz w:val="24"/>
          <w:szCs w:val="24"/>
        </w:rPr>
      </w:pPr>
      <w:r w:rsidRPr="00E12672">
        <w:rPr>
          <w:rFonts w:ascii="Times New Roman" w:hAnsi="Times New Roman"/>
          <w:sz w:val="24"/>
          <w:szCs w:val="24"/>
        </w:rPr>
        <w:t xml:space="preserve">The aqueous dosage form may contain inactive ingredients like </w:t>
      </w:r>
      <w:r w:rsidRPr="00E12672">
        <w:rPr>
          <w:rFonts w:ascii="Times New Roman" w:hAnsi="Times New Roman"/>
          <w:sz w:val="24"/>
          <w:szCs w:val="24"/>
          <w:u w:val="single"/>
        </w:rPr>
        <w:t>polysorbate 20, polyethylene glycol 4000</w:t>
      </w:r>
      <w:r w:rsidRPr="00E12672">
        <w:rPr>
          <w:rFonts w:ascii="Times New Roman" w:hAnsi="Times New Roman"/>
          <w:sz w:val="24"/>
          <w:szCs w:val="24"/>
        </w:rPr>
        <w:t>, citric acid monohydrate, disodium hydrogen phosphate anhydrous, sodium dihydrogen phosphate monohydrate, sodium hydroxide, and water;</w:t>
      </w:r>
    </w:p>
    <w:p w:rsidR="002823CB" w:rsidRDefault="002823CB" w:rsidP="002823CB">
      <w:pPr>
        <w:pStyle w:val="ListParagraph"/>
        <w:numPr>
          <w:ilvl w:val="1"/>
          <w:numId w:val="4"/>
        </w:numPr>
        <w:spacing w:before="240" w:line="360" w:lineRule="auto"/>
        <w:ind w:left="1134" w:right="96"/>
        <w:jc w:val="both"/>
        <w:rPr>
          <w:rFonts w:ascii="Times New Roman" w:hAnsi="Times New Roman"/>
          <w:sz w:val="24"/>
          <w:szCs w:val="24"/>
        </w:rPr>
      </w:pPr>
      <w:r w:rsidRPr="00E12672">
        <w:rPr>
          <w:rFonts w:ascii="Times New Roman" w:hAnsi="Times New Roman"/>
          <w:sz w:val="24"/>
          <w:szCs w:val="24"/>
        </w:rPr>
        <w:t>The injectable dosage form include be from 25 to about 150 mg (e.g. 25 mg</w:t>
      </w:r>
      <w:r>
        <w:rPr>
          <w:rFonts w:ascii="Times New Roman" w:hAnsi="Times New Roman"/>
          <w:sz w:val="24"/>
          <w:szCs w:val="24"/>
        </w:rPr>
        <w:t>, 50 mg, 75 mg, 100 mg, 150 mg);</w:t>
      </w:r>
    </w:p>
    <w:p w:rsidR="002823CB" w:rsidRPr="00E12672" w:rsidRDefault="002823CB" w:rsidP="002823CB">
      <w:pPr>
        <w:pStyle w:val="ListParagraph"/>
        <w:numPr>
          <w:ilvl w:val="1"/>
          <w:numId w:val="4"/>
        </w:numPr>
        <w:spacing w:before="240" w:line="360" w:lineRule="auto"/>
        <w:ind w:left="1134" w:right="96"/>
        <w:jc w:val="both"/>
        <w:rPr>
          <w:rFonts w:ascii="Times New Roman" w:hAnsi="Times New Roman"/>
          <w:sz w:val="24"/>
          <w:szCs w:val="24"/>
        </w:rPr>
      </w:pPr>
      <w:r>
        <w:rPr>
          <w:rFonts w:ascii="Times New Roman" w:hAnsi="Times New Roman"/>
          <w:sz w:val="24"/>
          <w:szCs w:val="24"/>
        </w:rPr>
        <w:t>That the carbamoyl composition disclosed could be administered orally or parenterally once a month.</w:t>
      </w:r>
      <w:r w:rsidRPr="00E12672">
        <w:rPr>
          <w:rFonts w:ascii="Times New Roman" w:hAnsi="Times New Roman"/>
          <w:sz w:val="24"/>
          <w:szCs w:val="24"/>
        </w:rPr>
        <w:t xml:space="preserve"> </w:t>
      </w:r>
    </w:p>
    <w:p w:rsidR="002823CB" w:rsidRPr="004E36A2" w:rsidRDefault="002823CB" w:rsidP="002823CB">
      <w:pPr>
        <w:pStyle w:val="ListParagraph"/>
        <w:numPr>
          <w:ilvl w:val="0"/>
          <w:numId w:val="4"/>
        </w:numPr>
        <w:spacing w:before="240" w:line="360" w:lineRule="auto"/>
        <w:ind w:left="567" w:right="96" w:hanging="567"/>
        <w:jc w:val="both"/>
        <w:rPr>
          <w:rFonts w:ascii="Times New Roman" w:hAnsi="Times New Roman"/>
          <w:caps/>
          <w:sz w:val="24"/>
          <w:szCs w:val="24"/>
        </w:rPr>
      </w:pPr>
      <w:r>
        <w:rPr>
          <w:rFonts w:ascii="Times New Roman" w:hAnsi="Times New Roman"/>
          <w:caps/>
          <w:sz w:val="24"/>
          <w:szCs w:val="24"/>
        </w:rPr>
        <w:t>F</w:t>
      </w:r>
      <w:r>
        <w:rPr>
          <w:rFonts w:ascii="Times New Roman" w:hAnsi="Times New Roman"/>
          <w:sz w:val="24"/>
          <w:szCs w:val="24"/>
        </w:rPr>
        <w:t xml:space="preserve">or a POSITA reading US’519 and WO’764, it would be obvious to formulate compounds disclosed in WO’764 as a formulation with nanoparticles containing polyethylene glycol and polysorbate 20 to be administered intramuscularly at a period of one month. Given that US’519 </w:t>
      </w:r>
      <w:r>
        <w:rPr>
          <w:rFonts w:ascii="Times New Roman" w:hAnsi="Times New Roman"/>
          <w:sz w:val="24"/>
          <w:szCs w:val="24"/>
        </w:rPr>
        <w:lastRenderedPageBreak/>
        <w:t xml:space="preserve">discloses the effect of particle size on </w:t>
      </w:r>
      <w:r>
        <w:rPr>
          <w:rFonts w:ascii="Times New Roman" w:hAnsi="Times New Roman"/>
          <w:i/>
          <w:sz w:val="24"/>
          <w:szCs w:val="24"/>
        </w:rPr>
        <w:t xml:space="preserve">in vivo </w:t>
      </w:r>
      <w:r>
        <w:rPr>
          <w:rFonts w:ascii="Times New Roman" w:hAnsi="Times New Roman"/>
          <w:sz w:val="24"/>
          <w:szCs w:val="24"/>
        </w:rPr>
        <w:t>behaviour with larger particles increasing T</w:t>
      </w:r>
      <w:r>
        <w:rPr>
          <w:rFonts w:ascii="Times New Roman" w:hAnsi="Times New Roman"/>
          <w:sz w:val="24"/>
          <w:szCs w:val="24"/>
          <w:vertAlign w:val="subscript"/>
        </w:rPr>
        <w:t>max</w:t>
      </w:r>
      <w:r>
        <w:rPr>
          <w:rFonts w:ascii="Times New Roman" w:hAnsi="Times New Roman"/>
          <w:sz w:val="24"/>
          <w:szCs w:val="24"/>
        </w:rPr>
        <w:t xml:space="preserve"> and increasing C</w:t>
      </w:r>
      <w:r>
        <w:rPr>
          <w:rFonts w:ascii="Times New Roman" w:hAnsi="Times New Roman"/>
          <w:sz w:val="24"/>
          <w:szCs w:val="24"/>
          <w:vertAlign w:val="subscript"/>
        </w:rPr>
        <w:t>max</w:t>
      </w:r>
      <w:r>
        <w:rPr>
          <w:rFonts w:ascii="Times New Roman" w:hAnsi="Times New Roman"/>
          <w:sz w:val="24"/>
          <w:szCs w:val="24"/>
        </w:rPr>
        <w:t xml:space="preserve">, it would be obvious to POSITA to routinely optimize particle size of the agents disclosed in WO’764 to arrive at a desired administration frequency. </w:t>
      </w:r>
      <w:r w:rsidRPr="004E36A2">
        <w:rPr>
          <w:rFonts w:ascii="Times New Roman" w:hAnsi="Times New Roman"/>
          <w:sz w:val="24"/>
          <w:szCs w:val="24"/>
        </w:rPr>
        <w:t>Further, for a POSITA it would be obvious to choose homologues of PEG 4000</w:t>
      </w:r>
      <w:r>
        <w:rPr>
          <w:rFonts w:ascii="Times New Roman" w:hAnsi="Times New Roman"/>
          <w:sz w:val="24"/>
          <w:szCs w:val="24"/>
        </w:rPr>
        <w:t xml:space="preserve"> as disclosed in the prior art documents discussed</w:t>
      </w:r>
      <w:r w:rsidRPr="004E36A2">
        <w:rPr>
          <w:rFonts w:ascii="Times New Roman" w:hAnsi="Times New Roman"/>
          <w:sz w:val="24"/>
          <w:szCs w:val="24"/>
        </w:rPr>
        <w:t xml:space="preserve">. </w:t>
      </w:r>
      <w:r>
        <w:rPr>
          <w:rFonts w:ascii="Times New Roman" w:hAnsi="Times New Roman"/>
          <w:sz w:val="24"/>
          <w:szCs w:val="24"/>
        </w:rPr>
        <w:t>Further, the POSITA would choose PEG and polysorbate for further development as US’519 clearly exemplifies a formulation comprising these components (see US’519, para 0055, Table 2)</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Hence, on reading US ’519 with  WO ’764, a POSITA working on a composition comprising polycyclic carbamoylpyridone derivatives </w:t>
      </w:r>
      <w:r>
        <w:rPr>
          <w:rFonts w:ascii="Times New Roman" w:hAnsi="Times New Roman"/>
          <w:sz w:val="24"/>
          <w:szCs w:val="24"/>
        </w:rPr>
        <w:t xml:space="preserve">disclosed in WO’764, </w:t>
      </w:r>
      <w:r w:rsidRPr="00E12672">
        <w:rPr>
          <w:rFonts w:ascii="Times New Roman" w:hAnsi="Times New Roman"/>
          <w:sz w:val="24"/>
          <w:szCs w:val="24"/>
        </w:rPr>
        <w:t xml:space="preserve">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motivated to experiment with the particle size of the components of the composition to achieve long acting features. </w:t>
      </w:r>
      <w:r>
        <w:rPr>
          <w:rFonts w:ascii="Times New Roman" w:hAnsi="Times New Roman"/>
          <w:sz w:val="24"/>
          <w:szCs w:val="24"/>
        </w:rPr>
        <w:t>The motivation to make such composition is the known need for better bioavailability of anti-HIV agents and improved dosage adherence.</w:t>
      </w:r>
    </w:p>
    <w:p w:rsidR="002823CB" w:rsidRPr="00E12672" w:rsidRDefault="002823CB" w:rsidP="002823CB">
      <w:pPr>
        <w:spacing w:before="240" w:line="360" w:lineRule="auto"/>
        <w:ind w:right="720"/>
        <w:jc w:val="both"/>
        <w:rPr>
          <w:rFonts w:ascii="Times New Roman" w:hAnsi="Times New Roman"/>
          <w:b/>
          <w:sz w:val="24"/>
          <w:szCs w:val="24"/>
        </w:rPr>
      </w:pPr>
      <w:r w:rsidRPr="00E12672">
        <w:rPr>
          <w:rFonts w:ascii="Times New Roman" w:hAnsi="Times New Roman"/>
          <w:b/>
          <w:sz w:val="24"/>
          <w:szCs w:val="24"/>
        </w:rPr>
        <w:t xml:space="preserve">US 2005/0113386 A1 </w:t>
      </w:r>
      <w:r w:rsidRPr="00E12672">
        <w:rPr>
          <w:rFonts w:ascii="Times New Roman" w:hAnsi="Times New Roman"/>
          <w:sz w:val="24"/>
          <w:szCs w:val="24"/>
        </w:rPr>
        <w:t>(Published: 26.05.2005)</w:t>
      </w:r>
    </w:p>
    <w:p w:rsidR="002823CB" w:rsidRPr="00E12672" w:rsidRDefault="002823CB" w:rsidP="002823CB">
      <w:pPr>
        <w:pStyle w:val="ListParagraph"/>
        <w:numPr>
          <w:ilvl w:val="0"/>
          <w:numId w:val="4"/>
        </w:numPr>
        <w:tabs>
          <w:tab w:val="left" w:pos="8931"/>
        </w:tabs>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The Opponent relies on patent application publication no. US 2005/0113386 A1 (hereinafter “US ’386” and annexed hereto as </w:t>
      </w:r>
      <w:r w:rsidRPr="00E12672">
        <w:rPr>
          <w:rFonts w:ascii="Times New Roman" w:hAnsi="Times New Roman"/>
          <w:b/>
          <w:sz w:val="24"/>
          <w:szCs w:val="24"/>
        </w:rPr>
        <w:t>Exhibit</w:t>
      </w:r>
      <w:r>
        <w:rPr>
          <w:rFonts w:ascii="Times New Roman" w:hAnsi="Times New Roman"/>
          <w:b/>
          <w:sz w:val="24"/>
          <w:szCs w:val="24"/>
        </w:rPr>
        <w:t xml:space="preserve"> C</w:t>
      </w:r>
      <w:r w:rsidRPr="005B6062">
        <w:rPr>
          <w:rFonts w:ascii="Times New Roman" w:hAnsi="Times New Roman"/>
          <w:sz w:val="24"/>
          <w:szCs w:val="24"/>
        </w:rPr>
        <w:t>)</w:t>
      </w:r>
      <w:r w:rsidRPr="00E12672">
        <w:rPr>
          <w:rFonts w:ascii="Times New Roman" w:hAnsi="Times New Roman"/>
          <w:sz w:val="24"/>
          <w:szCs w:val="24"/>
        </w:rPr>
        <w:t xml:space="preserve"> titled, “</w:t>
      </w:r>
      <w:r w:rsidRPr="00E12672">
        <w:rPr>
          <w:rFonts w:ascii="Times New Roman" w:hAnsi="Times New Roman"/>
          <w:i/>
          <w:sz w:val="24"/>
          <w:szCs w:val="24"/>
        </w:rPr>
        <w:t>Novel use of 1-[4-(5-cyanoindol-3-yl</w:t>
      </w:r>
      <w:proofErr w:type="gramStart"/>
      <w:r w:rsidRPr="00E12672">
        <w:rPr>
          <w:rFonts w:ascii="Times New Roman" w:hAnsi="Times New Roman"/>
          <w:i/>
          <w:sz w:val="24"/>
          <w:szCs w:val="24"/>
        </w:rPr>
        <w:t>)butyl</w:t>
      </w:r>
      <w:proofErr w:type="gramEnd"/>
      <w:r w:rsidRPr="00E12672">
        <w:rPr>
          <w:rFonts w:ascii="Times New Roman" w:hAnsi="Times New Roman"/>
          <w:i/>
          <w:sz w:val="24"/>
          <w:szCs w:val="24"/>
        </w:rPr>
        <w:t xml:space="preserve">]-4-(2-carbamoyl-benzofuran-5-yl)-piperazine and its physiologically accepted salts” </w:t>
      </w:r>
      <w:r w:rsidRPr="00E12672">
        <w:rPr>
          <w:rFonts w:ascii="Times New Roman" w:hAnsi="Times New Roman"/>
          <w:sz w:val="24"/>
          <w:szCs w:val="24"/>
        </w:rPr>
        <w:t xml:space="preserve">published on 26.05.2005. Given that this document has been published before the date of priority of the present patent, viz. 16.09.2010, this publication can be relied on as prior art for the present patent. </w:t>
      </w:r>
    </w:p>
    <w:p w:rsidR="002823CB" w:rsidRPr="00E12672" w:rsidRDefault="002823CB" w:rsidP="002823CB">
      <w:pPr>
        <w:pStyle w:val="ListParagraph"/>
        <w:numPr>
          <w:ilvl w:val="0"/>
          <w:numId w:val="4"/>
        </w:numPr>
        <w:tabs>
          <w:tab w:val="left" w:pos="8931"/>
        </w:tabs>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lastRenderedPageBreak/>
        <w:t>US ’386 relates to polycyclic compounds with a carbamoyl group (See US ’386, abstract). Further, US ’386 discloses the use of a pharmaceutical composition containing at least one compound of 1-[4—(5-cyanoindol-3-yl</w:t>
      </w:r>
      <w:proofErr w:type="gramStart"/>
      <w:r w:rsidRPr="00E12672">
        <w:rPr>
          <w:rFonts w:ascii="Times New Roman" w:hAnsi="Times New Roman"/>
          <w:sz w:val="24"/>
          <w:szCs w:val="24"/>
        </w:rPr>
        <w:t>)butyl</w:t>
      </w:r>
      <w:proofErr w:type="gramEnd"/>
      <w:r w:rsidRPr="00E12672">
        <w:rPr>
          <w:rFonts w:ascii="Times New Roman" w:hAnsi="Times New Roman"/>
          <w:sz w:val="24"/>
          <w:szCs w:val="24"/>
        </w:rPr>
        <w:t>]-4-(2-carbamoyl-benzofuran-5-yl)-piperazine and/or one of its biocompatible salts together with at least one solid, liquid or semi-liquid excipients (See US ’386, internal page 4, para 0042). US ’386 also indicates that composition with the carbamoyl group compound can be administered parenterally as well (see US ’386, internal page 9, para 0119)</w:t>
      </w:r>
    </w:p>
    <w:p w:rsidR="002823CB" w:rsidRPr="00E12672" w:rsidRDefault="002823CB" w:rsidP="002823CB">
      <w:pPr>
        <w:pStyle w:val="ListParagraph"/>
        <w:numPr>
          <w:ilvl w:val="0"/>
          <w:numId w:val="4"/>
        </w:numPr>
        <w:tabs>
          <w:tab w:val="left" w:pos="8931"/>
        </w:tabs>
        <w:spacing w:before="240" w:line="360" w:lineRule="auto"/>
        <w:ind w:left="567" w:right="96" w:hanging="567"/>
        <w:jc w:val="both"/>
        <w:rPr>
          <w:rFonts w:ascii="Times New Roman" w:hAnsi="Times New Roman"/>
          <w:sz w:val="24"/>
          <w:szCs w:val="24"/>
        </w:rPr>
      </w:pPr>
      <w:r w:rsidRPr="00E12672">
        <w:rPr>
          <w:rFonts w:ascii="Times New Roman" w:hAnsi="Times New Roman"/>
          <w:sz w:val="24"/>
          <w:szCs w:val="24"/>
        </w:rPr>
        <w:t>US ’386 indicates, “</w:t>
      </w:r>
      <w:r w:rsidRPr="00E12672">
        <w:rPr>
          <w:rFonts w:ascii="Times New Roman" w:hAnsi="Times New Roman"/>
          <w:i/>
          <w:sz w:val="24"/>
          <w:szCs w:val="24"/>
        </w:rPr>
        <w:t xml:space="preserve">Suitable excipients are organic or inorganic substances which are suitable for enteral (e.g. oral), </w:t>
      </w:r>
      <w:r w:rsidRPr="00E12672">
        <w:rPr>
          <w:rFonts w:ascii="Times New Roman" w:hAnsi="Times New Roman"/>
          <w:i/>
          <w:sz w:val="24"/>
          <w:szCs w:val="24"/>
          <w:u w:val="single"/>
        </w:rPr>
        <w:t>parenteral</w:t>
      </w:r>
      <w:r w:rsidRPr="00E12672">
        <w:rPr>
          <w:rFonts w:ascii="Times New Roman" w:hAnsi="Times New Roman"/>
          <w:i/>
          <w:sz w:val="24"/>
          <w:szCs w:val="24"/>
        </w:rPr>
        <w:t xml:space="preserve"> or tropical administration and which do not react with 1-[4-(5-cyanoindol-3-yl)butyl]-4-(2-carbamoyl-benzofuran-5-yl)-piperazine and/or one of its biocompatible salts, for example water, vegetable oils, benzyl alcohols, alkylene glycols, </w:t>
      </w:r>
      <w:r w:rsidRPr="00E12672">
        <w:rPr>
          <w:rFonts w:ascii="Times New Roman" w:hAnsi="Times New Roman"/>
          <w:i/>
          <w:sz w:val="24"/>
          <w:szCs w:val="24"/>
          <w:u w:val="single"/>
        </w:rPr>
        <w:t>polythene glycols</w:t>
      </w:r>
      <w:r w:rsidRPr="00E12672">
        <w:rPr>
          <w:rFonts w:ascii="Times New Roman" w:hAnsi="Times New Roman"/>
          <w:i/>
          <w:sz w:val="24"/>
          <w:szCs w:val="24"/>
        </w:rPr>
        <w:t>, glycerol triacetate, gelatine, carbohydrates such as lactose or starch, magnesium stearate, talc, petroleum jelly…forms for parenteral administration are, in particular, solvents, preferably oily or aqueous solutions, furthermore suspensions, emulsions or implants…”.</w:t>
      </w:r>
      <w:r w:rsidRPr="00E12672">
        <w:rPr>
          <w:rFonts w:ascii="Times New Roman" w:hAnsi="Times New Roman"/>
          <w:sz w:val="24"/>
          <w:szCs w:val="24"/>
        </w:rPr>
        <w:t>(emphasis supplied, See US ’386 at internal page 9, para [0119] )</w:t>
      </w:r>
      <w:r w:rsidRPr="00E12672">
        <w:rPr>
          <w:rFonts w:ascii="Times New Roman" w:hAnsi="Times New Roman"/>
          <w:i/>
          <w:sz w:val="24"/>
          <w:szCs w:val="24"/>
        </w:rPr>
        <w:t xml:space="preserve"> </w:t>
      </w:r>
    </w:p>
    <w:p w:rsidR="002823CB" w:rsidRPr="00E12672" w:rsidRDefault="002823CB" w:rsidP="002823CB">
      <w:pPr>
        <w:pStyle w:val="ListParagraph"/>
        <w:numPr>
          <w:ilvl w:val="0"/>
          <w:numId w:val="4"/>
        </w:numPr>
        <w:tabs>
          <w:tab w:val="left" w:pos="8931"/>
        </w:tabs>
        <w:spacing w:before="240" w:line="360" w:lineRule="auto"/>
        <w:ind w:left="567" w:right="96" w:hanging="567"/>
        <w:jc w:val="both"/>
        <w:rPr>
          <w:rFonts w:ascii="Times New Roman" w:hAnsi="Times New Roman"/>
          <w:sz w:val="24"/>
          <w:szCs w:val="24"/>
        </w:rPr>
      </w:pPr>
      <w:r w:rsidRPr="00E12672">
        <w:rPr>
          <w:rFonts w:ascii="Times New Roman" w:hAnsi="Times New Roman"/>
          <w:sz w:val="24"/>
          <w:szCs w:val="24"/>
        </w:rPr>
        <w:t xml:space="preserve">Further, it notices that, </w:t>
      </w:r>
      <w:r w:rsidRPr="00E12672">
        <w:rPr>
          <w:rFonts w:ascii="Times New Roman" w:hAnsi="Times New Roman"/>
          <w:i/>
          <w:sz w:val="24"/>
          <w:szCs w:val="24"/>
        </w:rPr>
        <w:t xml:space="preserve">“The above mentioned preparations can be in </w:t>
      </w:r>
      <w:r w:rsidRPr="00E12672">
        <w:rPr>
          <w:rFonts w:ascii="Times New Roman" w:hAnsi="Times New Roman"/>
          <w:i/>
          <w:sz w:val="24"/>
          <w:szCs w:val="24"/>
          <w:u w:val="single"/>
        </w:rPr>
        <w:t>sterilized form</w:t>
      </w:r>
      <w:r w:rsidRPr="00E12672">
        <w:rPr>
          <w:rFonts w:ascii="Times New Roman" w:hAnsi="Times New Roman"/>
          <w:i/>
          <w:sz w:val="24"/>
          <w:szCs w:val="24"/>
        </w:rPr>
        <w:t xml:space="preserve">, and/or comprise auxiliaries such as glidants, preservatives, stabilizers and/or wetting agents, emulsifiers, salts for modifying the osmotic pressure, buffer substances, colourings, flavourings and/or other active ingredients, e.g. one or more vitamins.” </w:t>
      </w:r>
      <w:r w:rsidRPr="00E12672">
        <w:rPr>
          <w:rFonts w:ascii="Times New Roman" w:hAnsi="Times New Roman"/>
          <w:sz w:val="24"/>
          <w:szCs w:val="24"/>
        </w:rPr>
        <w:t>(emphasis supplied, See US ’386 at internal page 9, para [0119] )</w:t>
      </w:r>
    </w:p>
    <w:p w:rsidR="002823CB" w:rsidRPr="00E12672" w:rsidRDefault="002823CB" w:rsidP="002823CB">
      <w:pPr>
        <w:pStyle w:val="ListParagraph"/>
        <w:numPr>
          <w:ilvl w:val="0"/>
          <w:numId w:val="4"/>
        </w:numPr>
        <w:tabs>
          <w:tab w:val="left" w:pos="8931"/>
        </w:tabs>
        <w:spacing w:before="240" w:line="360" w:lineRule="auto"/>
        <w:ind w:left="567" w:right="96" w:hanging="567"/>
        <w:jc w:val="both"/>
        <w:rPr>
          <w:rFonts w:ascii="Times New Roman" w:hAnsi="Times New Roman"/>
          <w:sz w:val="24"/>
          <w:szCs w:val="24"/>
        </w:rPr>
      </w:pPr>
      <w:r w:rsidRPr="00E12672">
        <w:rPr>
          <w:rFonts w:ascii="Times New Roman" w:hAnsi="Times New Roman"/>
          <w:sz w:val="24"/>
          <w:szCs w:val="24"/>
        </w:rPr>
        <w:t>Further, US ’386 discloses that the compound of the invention is to be preferably administered, “</w:t>
      </w:r>
      <w:r w:rsidRPr="00E12672">
        <w:rPr>
          <w:rFonts w:ascii="Times New Roman" w:hAnsi="Times New Roman"/>
          <w:i/>
          <w:sz w:val="24"/>
          <w:szCs w:val="24"/>
        </w:rPr>
        <w:t>in doses of between approximately 0.1 and 500mg, and in particular between 5 and 300 mg per dose unit.</w:t>
      </w:r>
      <w:r w:rsidRPr="00E12672">
        <w:rPr>
          <w:rFonts w:ascii="Times New Roman" w:hAnsi="Times New Roman"/>
          <w:sz w:val="24"/>
          <w:szCs w:val="24"/>
        </w:rPr>
        <w:t>”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US’386, internal page 4, para 0055, at lines 5-6). Preferred dosage form has also been claimed in Claim 21 stating “</w:t>
      </w:r>
      <w:r w:rsidRPr="00E12672">
        <w:rPr>
          <w:rFonts w:ascii="Times New Roman" w:hAnsi="Times New Roman"/>
          <w:i/>
          <w:sz w:val="24"/>
          <w:szCs w:val="24"/>
        </w:rPr>
        <w:t>A method according to claim 3, wherein 1-[4-(5-cyanoindol-3-yl</w:t>
      </w:r>
      <w:proofErr w:type="gramStart"/>
      <w:r w:rsidRPr="00E12672">
        <w:rPr>
          <w:rFonts w:ascii="Times New Roman" w:hAnsi="Times New Roman"/>
          <w:i/>
          <w:sz w:val="24"/>
          <w:szCs w:val="24"/>
        </w:rPr>
        <w:t>)butyl</w:t>
      </w:r>
      <w:proofErr w:type="gramEnd"/>
      <w:r w:rsidRPr="00E12672">
        <w:rPr>
          <w:rFonts w:ascii="Times New Roman" w:hAnsi="Times New Roman"/>
          <w:i/>
          <w:sz w:val="24"/>
          <w:szCs w:val="24"/>
        </w:rPr>
        <w:t>]-4-(2-carbamoyl- benzofuran-5-yl)-</w:t>
      </w:r>
      <w:r w:rsidRPr="00E12672">
        <w:rPr>
          <w:rFonts w:ascii="Times New Roman" w:hAnsi="Times New Roman"/>
          <w:i/>
          <w:sz w:val="24"/>
          <w:szCs w:val="24"/>
        </w:rPr>
        <w:lastRenderedPageBreak/>
        <w:t>piperazine or a physiologically acceptable salt thereof is administered to said patient in a dose of 0.1-500 mg”.</w:t>
      </w:r>
      <w:r w:rsidRPr="00E12672">
        <w:rPr>
          <w:rFonts w:ascii="Times New Roman" w:hAnsi="Times New Roman"/>
          <w:sz w:val="24"/>
          <w:szCs w:val="24"/>
        </w:rPr>
        <w:t xml:space="preserve"> (see US ’ 386, internal page 10)</w:t>
      </w:r>
    </w:p>
    <w:p w:rsidR="002823CB" w:rsidRPr="00E12672" w:rsidRDefault="002823CB" w:rsidP="002823CB">
      <w:pPr>
        <w:pStyle w:val="ListParagraph"/>
        <w:numPr>
          <w:ilvl w:val="0"/>
          <w:numId w:val="4"/>
        </w:numPr>
        <w:tabs>
          <w:tab w:val="left" w:pos="8931"/>
        </w:tabs>
        <w:spacing w:before="240" w:line="360" w:lineRule="auto"/>
        <w:ind w:left="567" w:right="96" w:hanging="567"/>
        <w:jc w:val="both"/>
        <w:rPr>
          <w:rFonts w:ascii="Times New Roman" w:hAnsi="Times New Roman"/>
          <w:sz w:val="24"/>
          <w:szCs w:val="24"/>
        </w:rPr>
      </w:pPr>
      <w:r w:rsidRPr="00E12672">
        <w:rPr>
          <w:rFonts w:ascii="Times New Roman" w:hAnsi="Times New Roman"/>
          <w:sz w:val="24"/>
          <w:szCs w:val="24"/>
        </w:rPr>
        <w:t>Therefore, a POSITA reading US’386 would be taught that:</w:t>
      </w:r>
    </w:p>
    <w:p w:rsidR="002823CB" w:rsidRPr="00E12672" w:rsidRDefault="002823CB" w:rsidP="002823CB">
      <w:pPr>
        <w:pStyle w:val="ListParagraph"/>
        <w:numPr>
          <w:ilvl w:val="1"/>
          <w:numId w:val="4"/>
        </w:numPr>
        <w:tabs>
          <w:tab w:val="left" w:pos="8931"/>
        </w:tabs>
        <w:spacing w:before="240" w:line="360" w:lineRule="auto"/>
        <w:ind w:left="1134" w:right="96" w:hanging="567"/>
        <w:jc w:val="both"/>
        <w:rPr>
          <w:rFonts w:ascii="Times New Roman" w:hAnsi="Times New Roman"/>
          <w:sz w:val="24"/>
          <w:szCs w:val="24"/>
        </w:rPr>
      </w:pPr>
      <w:r w:rsidRPr="00E12672">
        <w:rPr>
          <w:rFonts w:ascii="Times New Roman" w:hAnsi="Times New Roman"/>
          <w:sz w:val="24"/>
          <w:szCs w:val="24"/>
        </w:rPr>
        <w:t>Composition comprising carbamoyl groups with auxiliaries such as glidants, stabilizers, wetting agents etc. that may be administered parenterally and that the excipients may include polyethylene glycol;</w:t>
      </w:r>
    </w:p>
    <w:p w:rsidR="002823CB" w:rsidRPr="00E12672" w:rsidRDefault="002823CB" w:rsidP="002823CB">
      <w:pPr>
        <w:pStyle w:val="ListParagraph"/>
        <w:numPr>
          <w:ilvl w:val="1"/>
          <w:numId w:val="4"/>
        </w:numPr>
        <w:tabs>
          <w:tab w:val="left" w:pos="8931"/>
        </w:tabs>
        <w:spacing w:before="240" w:line="360" w:lineRule="auto"/>
        <w:ind w:left="1134" w:right="96" w:hanging="567"/>
        <w:jc w:val="both"/>
        <w:rPr>
          <w:rFonts w:ascii="Times New Roman" w:hAnsi="Times New Roman"/>
          <w:sz w:val="24"/>
          <w:szCs w:val="24"/>
        </w:rPr>
      </w:pPr>
      <w:r w:rsidRPr="00E12672">
        <w:rPr>
          <w:rFonts w:ascii="Times New Roman" w:hAnsi="Times New Roman"/>
          <w:sz w:val="24"/>
          <w:szCs w:val="24"/>
        </w:rPr>
        <w:t>That the above-mentioned composition can be in sterilized form;</w:t>
      </w:r>
    </w:p>
    <w:p w:rsidR="002823CB" w:rsidRPr="00E12672" w:rsidRDefault="002823CB" w:rsidP="002823CB">
      <w:pPr>
        <w:pStyle w:val="ListParagraph"/>
        <w:numPr>
          <w:ilvl w:val="1"/>
          <w:numId w:val="4"/>
        </w:numPr>
        <w:tabs>
          <w:tab w:val="left" w:pos="8931"/>
        </w:tabs>
        <w:spacing w:before="240" w:line="360" w:lineRule="auto"/>
        <w:ind w:left="1134" w:right="96" w:hanging="567"/>
        <w:jc w:val="both"/>
        <w:rPr>
          <w:rFonts w:ascii="Times New Roman" w:hAnsi="Times New Roman"/>
          <w:sz w:val="24"/>
          <w:szCs w:val="24"/>
        </w:rPr>
      </w:pPr>
      <w:r w:rsidRPr="00E12672">
        <w:rPr>
          <w:rFonts w:ascii="Times New Roman" w:hAnsi="Times New Roman"/>
          <w:sz w:val="24"/>
          <w:szCs w:val="24"/>
        </w:rPr>
        <w:t>That the preferred dosage for the composition comprising the carbamoyl derivative is about 0.1-500mg.</w:t>
      </w:r>
    </w:p>
    <w:p w:rsidR="002823CB" w:rsidRPr="00E12672" w:rsidRDefault="002823CB" w:rsidP="002823CB">
      <w:pPr>
        <w:pStyle w:val="ListParagraph"/>
        <w:numPr>
          <w:ilvl w:val="0"/>
          <w:numId w:val="4"/>
        </w:numPr>
        <w:tabs>
          <w:tab w:val="left" w:pos="8931"/>
        </w:tabs>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Hence, on reading US ’386 with  WO ’764 and US’519 , a POSITA working on a composition comprising polycyclic carbamoylpyridone derivatives 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motivated to experiment with the particle size of the components of the composition to achieve long acting features. The POSITA would also be taught that such a composition may also be administered parenterally and can be in sterilized form.</w:t>
      </w:r>
    </w:p>
    <w:p w:rsidR="002823CB" w:rsidRPr="00D645FB" w:rsidRDefault="002823CB" w:rsidP="002823CB">
      <w:pPr>
        <w:spacing w:before="240" w:line="360" w:lineRule="auto"/>
        <w:ind w:left="851" w:hanging="851"/>
        <w:rPr>
          <w:rFonts w:ascii="Times New Roman" w:hAnsi="Times New Roman"/>
          <w:b/>
          <w:sz w:val="24"/>
          <w:szCs w:val="24"/>
          <w:u w:val="single"/>
        </w:rPr>
      </w:pPr>
      <w:r w:rsidRPr="00D428DA">
        <w:rPr>
          <w:rFonts w:ascii="Times New Roman" w:hAnsi="Times New Roman"/>
          <w:b/>
          <w:sz w:val="24"/>
          <w:szCs w:val="24"/>
        </w:rPr>
        <w:t xml:space="preserve">VII.1.c </w:t>
      </w:r>
      <w:proofErr w:type="gramStart"/>
      <w:r w:rsidRPr="00D645FB">
        <w:rPr>
          <w:rFonts w:ascii="Times New Roman" w:hAnsi="Times New Roman"/>
          <w:b/>
          <w:sz w:val="24"/>
          <w:szCs w:val="24"/>
          <w:u w:val="single"/>
        </w:rPr>
        <w:t>That</w:t>
      </w:r>
      <w:proofErr w:type="gramEnd"/>
      <w:r w:rsidRPr="00D645FB">
        <w:rPr>
          <w:rFonts w:ascii="Times New Roman" w:hAnsi="Times New Roman"/>
          <w:b/>
          <w:sz w:val="24"/>
          <w:szCs w:val="24"/>
          <w:u w:val="single"/>
        </w:rPr>
        <w:t xml:space="preserve"> use of nanotechnology approaches in treatment of HIV/AIDS was known on the date of priority </w:t>
      </w:r>
    </w:p>
    <w:p w:rsidR="002823CB" w:rsidRPr="00E12672" w:rsidRDefault="002823CB" w:rsidP="002823CB">
      <w:pPr>
        <w:spacing w:before="240" w:line="360" w:lineRule="auto"/>
        <w:jc w:val="both"/>
        <w:rPr>
          <w:rFonts w:ascii="Times New Roman" w:hAnsi="Times New Roman"/>
          <w:sz w:val="24"/>
          <w:szCs w:val="24"/>
        </w:rPr>
      </w:pPr>
      <w:r w:rsidRPr="00E12672">
        <w:rPr>
          <w:rFonts w:ascii="Times New Roman" w:hAnsi="Times New Roman"/>
          <w:b/>
          <w:sz w:val="24"/>
          <w:szCs w:val="24"/>
        </w:rPr>
        <w:t xml:space="preserve">WO 99/02665 </w:t>
      </w:r>
      <w:r w:rsidRPr="00E12672">
        <w:rPr>
          <w:rFonts w:ascii="Times New Roman" w:hAnsi="Times New Roman"/>
          <w:sz w:val="24"/>
          <w:szCs w:val="24"/>
        </w:rPr>
        <w:t>(Published 21.01.1999)</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The Opponent relies on international patent publication no. WO 99/02665 (hereinafter “WO ’665” and annexed hereto as </w:t>
      </w:r>
      <w:r w:rsidRPr="00E12672">
        <w:rPr>
          <w:rFonts w:ascii="Times New Roman" w:hAnsi="Times New Roman"/>
          <w:b/>
          <w:sz w:val="24"/>
          <w:szCs w:val="24"/>
        </w:rPr>
        <w:t>Exhibit</w:t>
      </w:r>
      <w:r>
        <w:rPr>
          <w:rFonts w:ascii="Times New Roman" w:hAnsi="Times New Roman"/>
          <w:b/>
          <w:sz w:val="24"/>
          <w:szCs w:val="24"/>
        </w:rPr>
        <w:t xml:space="preserve"> D</w:t>
      </w:r>
      <w:r w:rsidRPr="00E12672">
        <w:rPr>
          <w:rFonts w:ascii="Times New Roman" w:hAnsi="Times New Roman"/>
          <w:b/>
          <w:sz w:val="24"/>
          <w:szCs w:val="24"/>
        </w:rPr>
        <w:t>)</w:t>
      </w:r>
      <w:r w:rsidRPr="00E12672">
        <w:rPr>
          <w:rFonts w:ascii="Times New Roman" w:hAnsi="Times New Roman"/>
          <w:sz w:val="24"/>
          <w:szCs w:val="24"/>
        </w:rPr>
        <w:t xml:space="preserve"> titled, “</w:t>
      </w:r>
      <w:r w:rsidRPr="00E12672">
        <w:rPr>
          <w:rFonts w:ascii="Times New Roman" w:hAnsi="Times New Roman"/>
          <w:i/>
          <w:sz w:val="24"/>
          <w:szCs w:val="24"/>
        </w:rPr>
        <w:t xml:space="preserve">Nanocrystalline formulations of Human Immunodeficiency virus (HIV) protease inhibitors using cellulosic surface stabilizers and methods of making such formulations” </w:t>
      </w:r>
      <w:r w:rsidRPr="00E12672">
        <w:rPr>
          <w:rFonts w:ascii="Times New Roman" w:hAnsi="Times New Roman"/>
          <w:sz w:val="24"/>
          <w:szCs w:val="24"/>
        </w:rPr>
        <w:t xml:space="preserve">published on 21.01.1999. Given that this document has been published before the date of priority of the present </w:t>
      </w:r>
      <w:r w:rsidRPr="00E12672">
        <w:rPr>
          <w:rFonts w:ascii="Times New Roman" w:hAnsi="Times New Roman"/>
          <w:sz w:val="24"/>
          <w:szCs w:val="24"/>
        </w:rPr>
        <w:lastRenderedPageBreak/>
        <w:t xml:space="preserve">patent, viz. 16.09.2010, this publication can be relied on as prior art for the present patent. </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WO’665 notes that nanoparticles have an “</w:t>
      </w:r>
      <w:r w:rsidRPr="00E12672">
        <w:rPr>
          <w:rFonts w:ascii="Times New Roman" w:hAnsi="Times New Roman"/>
          <w:i/>
          <w:sz w:val="24"/>
          <w:szCs w:val="24"/>
        </w:rPr>
        <w:t xml:space="preserve">increased rate of dissolution in vitro, an increased rate of absorption in vivo, </w:t>
      </w:r>
      <w:proofErr w:type="gramStart"/>
      <w:r w:rsidRPr="00E12672">
        <w:rPr>
          <w:rFonts w:ascii="Times New Roman" w:hAnsi="Times New Roman"/>
          <w:i/>
          <w:sz w:val="24"/>
          <w:szCs w:val="24"/>
        </w:rPr>
        <w:t>a decreased</w:t>
      </w:r>
      <w:proofErr w:type="gramEnd"/>
      <w:r w:rsidRPr="00E12672">
        <w:rPr>
          <w:rFonts w:ascii="Times New Roman" w:hAnsi="Times New Roman"/>
          <w:i/>
          <w:sz w:val="24"/>
          <w:szCs w:val="24"/>
        </w:rPr>
        <w:t xml:space="preserve"> fed/fasted ratio variability, and a decreased variability in absorption.</w:t>
      </w:r>
      <w:r w:rsidRPr="00E12672">
        <w:rPr>
          <w:rFonts w:ascii="Times New Roman" w:hAnsi="Times New Roman"/>
          <w:sz w:val="24"/>
          <w:szCs w:val="24"/>
        </w:rPr>
        <w:t>” The publication also discloses methods of making novel nanoparticulate formulations of HIV type –I (HIV-1) and type 2 (HIV-2) (see WO ’665, abstract, internal page 1 at field of invention)</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Further, WO ’665 discloses nanoparticulate “</w:t>
      </w:r>
      <w:r w:rsidRPr="00E12672">
        <w:rPr>
          <w:rFonts w:ascii="Times New Roman" w:hAnsi="Times New Roman"/>
          <w:i/>
          <w:sz w:val="24"/>
          <w:szCs w:val="24"/>
        </w:rPr>
        <w:t>HIV protease inhibitors having a cellulosic surface stabilizer adsorbed on the surface thereof in an effective average particle size of less than about 1000, and more preferably less than about 400nm.</w:t>
      </w:r>
      <w:r w:rsidRPr="00E12672">
        <w:rPr>
          <w:rFonts w:ascii="Times New Roman" w:hAnsi="Times New Roman"/>
          <w:sz w:val="24"/>
          <w:szCs w:val="24"/>
        </w:rPr>
        <w:t>”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WO ’665, internal page 5, 10-13). Further it notes that, “</w:t>
      </w:r>
      <w:r w:rsidRPr="00E12672">
        <w:rPr>
          <w:rFonts w:ascii="Times New Roman" w:hAnsi="Times New Roman"/>
          <w:i/>
          <w:sz w:val="24"/>
          <w:szCs w:val="24"/>
        </w:rPr>
        <w:t xml:space="preserve">In a preferred embodiment of the invention, the effective average particle size is less than about 400nm, more preferred </w:t>
      </w:r>
      <w:proofErr w:type="gramStart"/>
      <w:r w:rsidRPr="00E12672">
        <w:rPr>
          <w:rFonts w:ascii="Times New Roman" w:hAnsi="Times New Roman"/>
          <w:i/>
          <w:sz w:val="24"/>
          <w:szCs w:val="24"/>
        </w:rPr>
        <w:t>Is</w:t>
      </w:r>
      <w:proofErr w:type="gramEnd"/>
      <w:r w:rsidRPr="00E12672">
        <w:rPr>
          <w:rFonts w:ascii="Times New Roman" w:hAnsi="Times New Roman"/>
          <w:i/>
          <w:sz w:val="24"/>
          <w:szCs w:val="24"/>
        </w:rPr>
        <w:t xml:space="preserve"> less than about 100nm. It is preferred that at least 95% and, more preferably, at least 99% of the particles have a particle size less than the effective average, e.g., 1000nm. In a particularly preferred embodiment, essentially all of the particles have a size of less than about 250nm, and in a most preferred embodiment, essentially all of the particles have a size less than about 100nm.</w:t>
      </w:r>
      <w:r w:rsidRPr="00E12672">
        <w:rPr>
          <w:rFonts w:ascii="Times New Roman" w:hAnsi="Times New Roman"/>
          <w:sz w:val="24"/>
          <w:szCs w:val="24"/>
        </w:rPr>
        <w:t>”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WO’665, internal page 16, lines 16-23). The publication goes on to describe in detail the method to reduce the particle size of the HIV protease inhibitor drug substance to nanoparticles (see WO ’665, internal page 12-14)</w:t>
      </w:r>
    </w:p>
    <w:p w:rsidR="002823CB" w:rsidRPr="00E12672" w:rsidRDefault="002823CB" w:rsidP="002823CB">
      <w:pPr>
        <w:pStyle w:val="ListParagraph"/>
        <w:numPr>
          <w:ilvl w:val="0"/>
          <w:numId w:val="4"/>
        </w:numPr>
        <w:spacing w:before="240" w:line="360" w:lineRule="auto"/>
        <w:ind w:left="567" w:right="96" w:hanging="567"/>
        <w:rPr>
          <w:rFonts w:ascii="Times New Roman" w:hAnsi="Times New Roman"/>
          <w:b/>
          <w:caps/>
          <w:sz w:val="24"/>
          <w:szCs w:val="24"/>
        </w:rPr>
      </w:pPr>
      <w:r w:rsidRPr="00E12672">
        <w:rPr>
          <w:rFonts w:ascii="Times New Roman" w:hAnsi="Times New Roman"/>
          <w:sz w:val="24"/>
          <w:szCs w:val="24"/>
        </w:rPr>
        <w:t>Further these preferred average particle sizes of less than about 400nm, less than about 250nm and less than about 100nm have also been claimed (see WO ’665, internal page 30, claims 3, 4 and 5)</w:t>
      </w:r>
    </w:p>
    <w:p w:rsidR="002823CB" w:rsidRPr="00760350"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The publication also notes that suitable excipients could include gelatin, casein, lecithin (phosphatides), gum acacia, cholesterol, tragacanth, stearic acid, benzalkonium chloride, calcium stearate, glyceryl monostearate, cetostearyl alocohol, cetomacrogol emulsifying wax, sorbitan esters, polyoxyethylene alkyl ethers, e.g.:macrogol ethers such as cetamacrogol </w:t>
      </w:r>
      <w:r w:rsidRPr="00E12672">
        <w:rPr>
          <w:rFonts w:ascii="Times New Roman" w:hAnsi="Times New Roman"/>
          <w:sz w:val="24"/>
          <w:szCs w:val="24"/>
        </w:rPr>
        <w:lastRenderedPageBreak/>
        <w:t xml:space="preserve">1000, polyoxythylene castor oil derivatives, polyoxythylene sorbitant fatty acid esters, e.g., the commercially available Tweens, </w:t>
      </w:r>
      <w:r w:rsidRPr="00E12672">
        <w:rPr>
          <w:rFonts w:ascii="Times New Roman" w:hAnsi="Times New Roman"/>
          <w:sz w:val="24"/>
          <w:szCs w:val="24"/>
          <w:u w:val="single"/>
        </w:rPr>
        <w:t>polyethylene glycols</w:t>
      </w:r>
      <w:r w:rsidRPr="00E12672">
        <w:rPr>
          <w:rFonts w:ascii="Times New Roman" w:hAnsi="Times New Roman"/>
          <w:sz w:val="24"/>
          <w:szCs w:val="24"/>
        </w:rPr>
        <w:t>, polyoxyethylene stearates, colloidal silicon dioxide, phosphates, sodium dodecylsulfate, carboxymethylcellulose calcium, carboxymethylcellulose sodium, methylcellulose, hydroxyethylcellulose, hydroxypropyl methylcellulose phthalate, non crystalline cellulose, magnesium aluminium silicate, triethanolamine, polyvinyl alcohol, and polyvinylpyrrolidone (PVP). (</w:t>
      </w:r>
      <w:proofErr w:type="gramStart"/>
      <w:r w:rsidRPr="00E12672">
        <w:rPr>
          <w:rFonts w:ascii="Times New Roman" w:hAnsi="Times New Roman"/>
          <w:sz w:val="24"/>
          <w:szCs w:val="24"/>
        </w:rPr>
        <w:t>emphasis</w:t>
      </w:r>
      <w:proofErr w:type="gramEnd"/>
      <w:r w:rsidRPr="00E12672">
        <w:rPr>
          <w:rFonts w:ascii="Times New Roman" w:hAnsi="Times New Roman"/>
          <w:sz w:val="24"/>
          <w:szCs w:val="24"/>
        </w:rPr>
        <w:t xml:space="preserve"> supplied, see WO’665, internal page 10, lines 16-26).</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Pr>
          <w:rFonts w:ascii="Times New Roman" w:hAnsi="Times New Roman"/>
          <w:sz w:val="24"/>
          <w:szCs w:val="24"/>
        </w:rPr>
        <w:t>Further, the publication also notes that the pharmaceutical composition disclosed therein may be administered parenterally including through subcutaneous and intramuscular routes (see WO’665, internal page 7, para 3, lines 3-5)</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Therefore, a POSITA on reading WO’665 would be taught that:</w:t>
      </w:r>
    </w:p>
    <w:p w:rsidR="002823CB" w:rsidRPr="00E12672" w:rsidRDefault="002823CB" w:rsidP="002823CB">
      <w:pPr>
        <w:pStyle w:val="ListParagraph"/>
        <w:numPr>
          <w:ilvl w:val="1"/>
          <w:numId w:val="4"/>
        </w:numPr>
        <w:spacing w:before="240" w:line="360" w:lineRule="auto"/>
        <w:ind w:left="1134" w:right="96" w:hanging="567"/>
        <w:jc w:val="both"/>
        <w:rPr>
          <w:rFonts w:ascii="Times New Roman" w:hAnsi="Times New Roman"/>
          <w:caps/>
          <w:sz w:val="24"/>
          <w:szCs w:val="24"/>
        </w:rPr>
      </w:pPr>
      <w:r w:rsidRPr="00E12672">
        <w:rPr>
          <w:rFonts w:ascii="Times New Roman" w:hAnsi="Times New Roman"/>
          <w:caps/>
          <w:sz w:val="24"/>
          <w:szCs w:val="24"/>
        </w:rPr>
        <w:t>N</w:t>
      </w:r>
      <w:r w:rsidRPr="00E12672">
        <w:rPr>
          <w:rFonts w:ascii="Times New Roman" w:hAnsi="Times New Roman"/>
          <w:sz w:val="24"/>
          <w:szCs w:val="24"/>
        </w:rPr>
        <w:t xml:space="preserve">anoparticles may increase rate of dissolution </w:t>
      </w:r>
      <w:r w:rsidRPr="00E12672">
        <w:rPr>
          <w:rFonts w:ascii="Times New Roman" w:hAnsi="Times New Roman"/>
          <w:i/>
          <w:sz w:val="24"/>
          <w:szCs w:val="24"/>
        </w:rPr>
        <w:t>in vitro</w:t>
      </w:r>
      <w:r w:rsidRPr="00E12672">
        <w:rPr>
          <w:rFonts w:ascii="Times New Roman" w:hAnsi="Times New Roman"/>
          <w:sz w:val="24"/>
          <w:szCs w:val="24"/>
        </w:rPr>
        <w:t xml:space="preserve">, and increase rate of absorption </w:t>
      </w:r>
      <w:r w:rsidRPr="00E12672">
        <w:rPr>
          <w:rFonts w:ascii="Times New Roman" w:hAnsi="Times New Roman"/>
          <w:i/>
          <w:sz w:val="24"/>
          <w:szCs w:val="24"/>
        </w:rPr>
        <w:t>in vivo</w:t>
      </w:r>
      <w:r w:rsidRPr="00E12672">
        <w:rPr>
          <w:rFonts w:ascii="Times New Roman" w:hAnsi="Times New Roman"/>
          <w:sz w:val="24"/>
          <w:szCs w:val="24"/>
        </w:rPr>
        <w:t>;</w:t>
      </w:r>
    </w:p>
    <w:p w:rsidR="002823CB" w:rsidRPr="00E12672" w:rsidRDefault="002823CB" w:rsidP="002823CB">
      <w:pPr>
        <w:pStyle w:val="ListParagraph"/>
        <w:numPr>
          <w:ilvl w:val="1"/>
          <w:numId w:val="4"/>
        </w:numPr>
        <w:spacing w:before="240" w:line="360" w:lineRule="auto"/>
        <w:ind w:left="1134" w:right="96" w:hanging="567"/>
        <w:jc w:val="both"/>
        <w:rPr>
          <w:rFonts w:ascii="Times New Roman" w:hAnsi="Times New Roman"/>
          <w:caps/>
          <w:sz w:val="24"/>
          <w:szCs w:val="24"/>
        </w:rPr>
      </w:pPr>
      <w:r w:rsidRPr="00E12672">
        <w:rPr>
          <w:rFonts w:ascii="Times New Roman" w:hAnsi="Times New Roman"/>
          <w:sz w:val="24"/>
          <w:szCs w:val="24"/>
        </w:rPr>
        <w:t>Method of formulating nanoparticulate form of HIV protease inhibitors;</w:t>
      </w:r>
    </w:p>
    <w:p w:rsidR="002823CB" w:rsidRPr="00E12672" w:rsidRDefault="002823CB" w:rsidP="002823CB">
      <w:pPr>
        <w:pStyle w:val="ListParagraph"/>
        <w:numPr>
          <w:ilvl w:val="1"/>
          <w:numId w:val="4"/>
        </w:numPr>
        <w:spacing w:before="240" w:line="360" w:lineRule="auto"/>
        <w:ind w:left="1134" w:right="96" w:hanging="567"/>
        <w:jc w:val="both"/>
        <w:rPr>
          <w:rFonts w:ascii="Times New Roman" w:hAnsi="Times New Roman"/>
          <w:caps/>
          <w:sz w:val="24"/>
          <w:szCs w:val="24"/>
        </w:rPr>
      </w:pPr>
      <w:r w:rsidRPr="00E12672">
        <w:rPr>
          <w:rFonts w:ascii="Times New Roman" w:hAnsi="Times New Roman"/>
          <w:sz w:val="24"/>
          <w:szCs w:val="24"/>
        </w:rPr>
        <w:t>The preferred particle size in such formulation for HIV treatment would be less than 400nm, 250nm or 100nm;</w:t>
      </w:r>
    </w:p>
    <w:p w:rsidR="002823CB" w:rsidRPr="00E12672" w:rsidRDefault="002823CB" w:rsidP="002823CB">
      <w:pPr>
        <w:pStyle w:val="ListParagraph"/>
        <w:numPr>
          <w:ilvl w:val="1"/>
          <w:numId w:val="4"/>
        </w:numPr>
        <w:spacing w:before="240" w:line="360" w:lineRule="auto"/>
        <w:ind w:left="1134" w:right="96" w:hanging="567"/>
        <w:jc w:val="both"/>
        <w:rPr>
          <w:rFonts w:ascii="Times New Roman" w:hAnsi="Times New Roman"/>
          <w:caps/>
          <w:sz w:val="24"/>
          <w:szCs w:val="24"/>
        </w:rPr>
      </w:pPr>
      <w:r w:rsidRPr="00E12672">
        <w:rPr>
          <w:rFonts w:ascii="Times New Roman" w:hAnsi="Times New Roman"/>
          <w:sz w:val="24"/>
          <w:szCs w:val="24"/>
        </w:rPr>
        <w:t xml:space="preserve">That polyethylene glycol could be used as an excipient with the disclosed invention for HIV treatment. </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Hence, on reading WO’665 with  WO ’764, US’519 and US’386, a POSITA working on a composition comprising polycyclic carbamoylpyridone derivatives 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taught that such a composition may also be administered parenterally and </w:t>
      </w:r>
      <w:r w:rsidRPr="00E12672">
        <w:rPr>
          <w:rFonts w:ascii="Times New Roman" w:hAnsi="Times New Roman"/>
          <w:sz w:val="24"/>
          <w:szCs w:val="24"/>
        </w:rPr>
        <w:lastRenderedPageBreak/>
        <w:t>can be in sterilized form. The POSITA would also be motivated to experiment with particle size of less than 400nm, 250nm or 100nm.</w:t>
      </w:r>
    </w:p>
    <w:p w:rsidR="002823CB" w:rsidRPr="00E12672" w:rsidRDefault="002823CB" w:rsidP="002823CB">
      <w:pPr>
        <w:spacing w:before="240" w:line="360" w:lineRule="auto"/>
        <w:jc w:val="both"/>
        <w:rPr>
          <w:rFonts w:ascii="Times New Roman" w:hAnsi="Times New Roman"/>
          <w:sz w:val="24"/>
          <w:szCs w:val="24"/>
        </w:rPr>
      </w:pPr>
      <w:r w:rsidRPr="00E12672">
        <w:rPr>
          <w:rFonts w:ascii="Times New Roman" w:hAnsi="Times New Roman"/>
          <w:b/>
          <w:i/>
          <w:sz w:val="24"/>
          <w:szCs w:val="24"/>
        </w:rPr>
        <w:t xml:space="preserve">Emerging technology approaches for HIV/AIDS treatment and prevention </w:t>
      </w:r>
      <w:r w:rsidRPr="00E12672">
        <w:rPr>
          <w:rFonts w:ascii="Times New Roman" w:hAnsi="Times New Roman"/>
          <w:sz w:val="24"/>
          <w:szCs w:val="24"/>
        </w:rPr>
        <w:t>(Published: February, 2010)</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The Opponent relies on a publication titled, “</w:t>
      </w:r>
      <w:r w:rsidRPr="00E12672">
        <w:rPr>
          <w:rFonts w:ascii="Times New Roman" w:hAnsi="Times New Roman"/>
          <w:i/>
          <w:sz w:val="24"/>
          <w:szCs w:val="24"/>
        </w:rPr>
        <w:t>Emerging technology approaches for HIV/AIDS treatment and prevention</w:t>
      </w:r>
      <w:r w:rsidRPr="00E12672">
        <w:rPr>
          <w:rFonts w:ascii="Times New Roman" w:hAnsi="Times New Roman"/>
          <w:sz w:val="24"/>
          <w:szCs w:val="24"/>
        </w:rPr>
        <w:t>” Nanomedicine (Lon</w:t>
      </w:r>
      <w:r>
        <w:rPr>
          <w:rFonts w:ascii="Times New Roman" w:hAnsi="Times New Roman"/>
          <w:sz w:val="24"/>
          <w:szCs w:val="24"/>
        </w:rPr>
        <w:t>d). 2010 February; 5(2)</w:t>
      </w:r>
      <w:r w:rsidRPr="00E12672">
        <w:rPr>
          <w:rFonts w:ascii="Times New Roman" w:hAnsi="Times New Roman"/>
          <w:sz w:val="24"/>
          <w:szCs w:val="24"/>
        </w:rPr>
        <w:t xml:space="preserve">:269-285 authored by Tewodros </w:t>
      </w:r>
      <w:r w:rsidRPr="00E12672">
        <w:rPr>
          <w:rFonts w:ascii="Times New Roman" w:hAnsi="Times New Roman"/>
          <w:i/>
          <w:sz w:val="24"/>
          <w:szCs w:val="24"/>
        </w:rPr>
        <w:t>et al</w:t>
      </w:r>
      <w:r w:rsidRPr="00E12672">
        <w:rPr>
          <w:rFonts w:ascii="Times New Roman" w:hAnsi="Times New Roman"/>
          <w:sz w:val="24"/>
          <w:szCs w:val="24"/>
        </w:rPr>
        <w:t xml:space="preserve"> (hereinafter “Tewodros </w:t>
      </w:r>
      <w:r w:rsidRPr="00E12672">
        <w:rPr>
          <w:rFonts w:ascii="Times New Roman" w:hAnsi="Times New Roman"/>
          <w:i/>
          <w:sz w:val="24"/>
          <w:szCs w:val="24"/>
        </w:rPr>
        <w:t>et al</w:t>
      </w:r>
      <w:r w:rsidRPr="00E12672">
        <w:rPr>
          <w:rFonts w:ascii="Times New Roman" w:hAnsi="Times New Roman"/>
          <w:sz w:val="24"/>
          <w:szCs w:val="24"/>
        </w:rPr>
        <w:t xml:space="preserve">” and annexed hereto as </w:t>
      </w:r>
      <w:r w:rsidRPr="00E12672">
        <w:rPr>
          <w:rFonts w:ascii="Times New Roman" w:hAnsi="Times New Roman"/>
          <w:b/>
          <w:sz w:val="24"/>
          <w:szCs w:val="24"/>
        </w:rPr>
        <w:t>Exhibit</w:t>
      </w:r>
      <w:r>
        <w:rPr>
          <w:rFonts w:ascii="Times New Roman" w:hAnsi="Times New Roman"/>
          <w:b/>
          <w:sz w:val="24"/>
          <w:szCs w:val="24"/>
        </w:rPr>
        <w:t xml:space="preserve"> E</w:t>
      </w:r>
      <w:r w:rsidRPr="00E12672">
        <w:rPr>
          <w:rFonts w:ascii="Times New Roman" w:hAnsi="Times New Roman"/>
          <w:b/>
          <w:sz w:val="24"/>
          <w:szCs w:val="24"/>
        </w:rPr>
        <w:t>)</w:t>
      </w:r>
      <w:r w:rsidRPr="00E12672">
        <w:rPr>
          <w:rFonts w:ascii="Times New Roman" w:hAnsi="Times New Roman"/>
          <w:sz w:val="24"/>
          <w:szCs w:val="24"/>
        </w:rPr>
        <w:t xml:space="preserve">. Given that this document has been published in February 2010 viz. before the date of priority of the present patent, viz. 16.09.2010, this publication can be relied on as prior art for the present patent. </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 xml:space="preserve">Tewodros </w:t>
      </w:r>
      <w:r w:rsidRPr="00E12672">
        <w:rPr>
          <w:rFonts w:ascii="Times New Roman" w:hAnsi="Times New Roman"/>
          <w:i/>
          <w:sz w:val="24"/>
          <w:szCs w:val="24"/>
        </w:rPr>
        <w:t>et al</w:t>
      </w:r>
      <w:r w:rsidRPr="00E12672">
        <w:rPr>
          <w:rFonts w:ascii="Times New Roman" w:hAnsi="Times New Roman"/>
          <w:sz w:val="24"/>
          <w:szCs w:val="24"/>
        </w:rPr>
        <w:t xml:space="preserve"> discusses the vast potential of nanotechnology, “…</w:t>
      </w:r>
      <w:r w:rsidRPr="00E12672">
        <w:rPr>
          <w:rFonts w:ascii="Times New Roman" w:hAnsi="Times New Roman"/>
          <w:i/>
          <w:sz w:val="24"/>
          <w:szCs w:val="24"/>
        </w:rPr>
        <w:t>to radically advance the treatment and prevention of HIV/AIDS.</w:t>
      </w:r>
      <w:r w:rsidRPr="00E12672">
        <w:rPr>
          <w:rFonts w:ascii="Times New Roman" w:hAnsi="Times New Roman"/>
          <w:sz w:val="24"/>
          <w:szCs w:val="24"/>
        </w:rPr>
        <w:t>” The authors review, “</w:t>
      </w:r>
      <w:r w:rsidRPr="00E12672">
        <w:rPr>
          <w:rFonts w:ascii="Times New Roman" w:hAnsi="Times New Roman"/>
          <w:i/>
          <w:sz w:val="24"/>
          <w:szCs w:val="24"/>
        </w:rPr>
        <w:t xml:space="preserve"> … the challenges with the current treatment of the disease and shed light on the remarkable potential of nanotechnology to provide more effective treatment and prevention for HIV/AIDS by advancing antiretroviral therapy, gene therapy, immunotherapy, vaccinology and microbicides</w:t>
      </w:r>
      <w:r w:rsidRPr="00E12672">
        <w:rPr>
          <w:rFonts w:ascii="Times New Roman" w:hAnsi="Times New Roman"/>
          <w:sz w:val="24"/>
          <w:szCs w:val="24"/>
        </w:rPr>
        <w:t xml:space="preserve">.” (See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1, at abstract, lines 5-8)</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The authors note that, “…</w:t>
      </w:r>
      <w:r w:rsidRPr="00976FAA">
        <w:rPr>
          <w:rFonts w:ascii="Times New Roman" w:hAnsi="Times New Roman"/>
          <w:i/>
          <w:sz w:val="24"/>
          <w:szCs w:val="24"/>
        </w:rPr>
        <w:t>by controlling the release profiles of the delivery systems, drugs could be released over a longer time and at higher effective doses to the specific targets. Various nanoscale drug delivery systems…could be explored for these purposes</w:t>
      </w:r>
      <w:r w:rsidRPr="00E12672">
        <w:rPr>
          <w:rFonts w:ascii="Times New Roman" w:hAnsi="Times New Roman"/>
          <w:sz w:val="24"/>
          <w:szCs w:val="24"/>
        </w:rPr>
        <w:t xml:space="preserve">.” (see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4, para 1, lines 6-8)</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The authors cite recent examples of nanotechnology based drug delivery. Such example included that of, “…</w:t>
      </w:r>
      <w:r w:rsidRPr="00E12672">
        <w:rPr>
          <w:rFonts w:ascii="Times New Roman" w:hAnsi="Times New Roman"/>
          <w:i/>
          <w:sz w:val="24"/>
          <w:szCs w:val="24"/>
        </w:rPr>
        <w:t xml:space="preserve">nanosuspensions (200 nm) of the drug rilpivirine (TMC278) stabilized by polyethylene-polypropylene glycol (poloxamer 338) and PEGylated tocopheryl succinate ester (TPGS 1000) were studied in dogs and mice [35]. A single-dose administration of the drug in nanosuspensions resulted in sustained release over 3 months in </w:t>
      </w:r>
      <w:r w:rsidRPr="00E12672">
        <w:rPr>
          <w:rFonts w:ascii="Times New Roman" w:hAnsi="Times New Roman"/>
          <w:i/>
          <w:sz w:val="24"/>
          <w:szCs w:val="24"/>
        </w:rPr>
        <w:lastRenderedPageBreak/>
        <w:t xml:space="preserve">dogs and 3 weeks in mice, compared with a half-life of 38 h for free drug. </w:t>
      </w:r>
      <w:r w:rsidRPr="00E12672">
        <w:rPr>
          <w:rFonts w:ascii="Times New Roman" w:hAnsi="Times New Roman"/>
          <w:i/>
          <w:sz w:val="24"/>
          <w:szCs w:val="24"/>
          <w:u w:val="single"/>
        </w:rPr>
        <w:t>These results serve as a proof-of-concept that nanoscale drug delivery may potentially lower dosing frequency and improve adherence</w:t>
      </w:r>
      <w:r w:rsidRPr="00E12672">
        <w:rPr>
          <w:rFonts w:ascii="Times New Roman" w:hAnsi="Times New Roman"/>
          <w:sz w:val="24"/>
          <w:szCs w:val="24"/>
        </w:rPr>
        <w:t xml:space="preserve">.” (emphasis supplied, see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4, para 2)</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i/>
          <w:sz w:val="24"/>
          <w:szCs w:val="24"/>
        </w:rPr>
      </w:pPr>
      <w:r w:rsidRPr="00E12672">
        <w:rPr>
          <w:rFonts w:ascii="Times New Roman" w:hAnsi="Times New Roman"/>
          <w:sz w:val="24"/>
          <w:szCs w:val="24"/>
        </w:rPr>
        <w:t>In another example the authors noted the studies on nanosuspension of anti-HIV drug Indinavir and noted, “</w:t>
      </w:r>
      <w:r w:rsidRPr="00E12672">
        <w:rPr>
          <w:rFonts w:ascii="Times New Roman" w:hAnsi="Times New Roman"/>
          <w:i/>
          <w:sz w:val="24"/>
          <w:szCs w:val="24"/>
        </w:rPr>
        <w:t xml:space="preserve">A series of experiments by Dou et al. showed that nanosuspension of the drug indinavir can be stabilized by a surfactant system comprised of Lipoid E80 for effective delivery to various tissues [36–38]... More significantly, </w:t>
      </w:r>
      <w:r w:rsidRPr="00E12672">
        <w:rPr>
          <w:rFonts w:ascii="Times New Roman" w:hAnsi="Times New Roman"/>
          <w:i/>
          <w:sz w:val="24"/>
          <w:szCs w:val="24"/>
          <w:u w:val="single"/>
        </w:rPr>
        <w:t>the intravenous administration of a single dose of the nanoparticle-loaded macrophages in a rodent mouse model of HIV brain infection resulted in significant antiviral activity in the brain</w:t>
      </w:r>
      <w:r w:rsidRPr="00E12672">
        <w:rPr>
          <w:rFonts w:ascii="Times New Roman" w:hAnsi="Times New Roman"/>
          <w:i/>
          <w:sz w:val="24"/>
          <w:szCs w:val="24"/>
        </w:rPr>
        <w:t xml:space="preserve"> and produced measureable drug levels in the blood up to 14 days post-treatment [38]...</w:t>
      </w:r>
      <w:r w:rsidRPr="00E12672">
        <w:rPr>
          <w:rFonts w:ascii="Times New Roman" w:hAnsi="Times New Roman"/>
          <w:sz w:val="24"/>
          <w:szCs w:val="24"/>
        </w:rPr>
        <w:t xml:space="preserve">” (emphasis supplied, see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4, paras 3 and 4)</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The authors cite yet another example of the drugs efavirenz and lamivudine. The authors noted, “</w:t>
      </w:r>
      <w:r w:rsidRPr="00E12672">
        <w:rPr>
          <w:rFonts w:ascii="Times New Roman" w:hAnsi="Times New Roman"/>
          <w:i/>
          <w:sz w:val="24"/>
          <w:szCs w:val="24"/>
        </w:rPr>
        <w:t>In separate work, a mannose-targeted poly (propyleneimine) dendrimer nanocarrier was used to deliver the drug efavirenz to human monocytes/macrophages in vitro [43]. The targeted nanocarrier resulted in 12-fold increase in cellular uptake compared with free drug. A similar system was used to deliver the drug lamivudine in vitro, resulting in significantly higher anti- HIV activity for the targeted and nontargeted dendrimer systems compared with free drugs [44]</w:t>
      </w:r>
      <w:r w:rsidRPr="00E12672">
        <w:rPr>
          <w:rFonts w:ascii="Times New Roman" w:hAnsi="Times New Roman"/>
          <w:sz w:val="24"/>
          <w:szCs w:val="24"/>
        </w:rPr>
        <w:t xml:space="preserve">.” (see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5, para 2, lines 1-6)</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In light of these studies, the authors identify the motivation to use nanotechnology in antiretroviral treatment and state, “</w:t>
      </w:r>
      <w:r w:rsidRPr="00E12672">
        <w:rPr>
          <w:rFonts w:ascii="Times New Roman" w:hAnsi="Times New Roman"/>
          <w:i/>
          <w:sz w:val="24"/>
          <w:szCs w:val="24"/>
        </w:rPr>
        <w:t xml:space="preserve">All the aforementioned efforts are examples of the potential nanotechnology platforms hold for improving targeted delivery of antiretroviral drugs to the cellular and anatomical reservoirs of HIV. These early efforts provide evidence for the potential of nanotechnology to improve delivery of antiretroviral therapy and support ongoing efforts to initiate clinical trials. Although the early efforts have not reached clinical trials yet, the works so </w:t>
      </w:r>
      <w:r w:rsidRPr="00E12672">
        <w:rPr>
          <w:rFonts w:ascii="Times New Roman" w:hAnsi="Times New Roman"/>
          <w:i/>
          <w:sz w:val="24"/>
          <w:szCs w:val="24"/>
        </w:rPr>
        <w:lastRenderedPageBreak/>
        <w:t>far provide encouraging evidence that a subset of these preclinical technologies may enter clinical evaluation in the future</w:t>
      </w:r>
      <w:r w:rsidRPr="00E12672">
        <w:rPr>
          <w:rFonts w:ascii="Times New Roman" w:hAnsi="Times New Roman"/>
          <w:sz w:val="24"/>
          <w:szCs w:val="24"/>
        </w:rPr>
        <w:t xml:space="preserve">.” (see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5, para 4)</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The use of nanoparticles as adjuvants and delivery system for vaccines was also identified. The authors noted, “…</w:t>
      </w:r>
      <w:r w:rsidRPr="00E12672">
        <w:rPr>
          <w:rFonts w:ascii="Times New Roman" w:hAnsi="Times New Roman"/>
          <w:i/>
          <w:sz w:val="24"/>
          <w:szCs w:val="24"/>
        </w:rPr>
        <w:t>By protecting the delivered antigen from body fluids (e.g., lymph, serum and mucus) nanoparticle antigen encapsulation can increase the half-life of an immunizing antigen. Nanoparticles can also be designed to effectively target APCs [106]. Targeting antigen delivery to DCs with surface functionalized nanoparticles presents a major opportunity for delivery of antigen and initiation of immune responses. Another major benefit of nanoparticle vaccines is that they can be optimized for various routes of administration. Conventional vaccines are mostly administered intramuscularly, but nanoparticles provide expanded opportunity for oral and nasal vaccinations where mucosal immunity could be induced [107]</w:t>
      </w:r>
      <w:r w:rsidRPr="00E12672">
        <w:rPr>
          <w:rFonts w:ascii="Times New Roman" w:hAnsi="Times New Roman"/>
          <w:sz w:val="24"/>
          <w:szCs w:val="24"/>
        </w:rPr>
        <w:t xml:space="preserve">.” (see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9, para 3, lines 4-11)</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 xml:space="preserve">The authors discussed use of nano particles in vaccine form. It may be noted that the size of the nanoparticles in these varied from 110-400nm, &lt;250nm, ~ 350nm, 185-250nm and 200nm (see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10, para 1, lines 1-2; para 3, line 1; para 4 at line 1, para 5 at line 5; internal page 11 at para 2, line 1 and para 3 at line 1).</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Authors conclude by stating that, “</w:t>
      </w:r>
      <w:r w:rsidRPr="00E12672">
        <w:rPr>
          <w:rFonts w:ascii="Times New Roman" w:hAnsi="Times New Roman"/>
          <w:i/>
          <w:sz w:val="24"/>
          <w:szCs w:val="24"/>
        </w:rPr>
        <w:t xml:space="preserve">Nanotechnology-based vaccines for HIV/AIDS are also showing potential in early studies. Their ability to target specific cells and release antigens in a controlled and sustained manner makes nanoparticles a great alternative to viral vectors. </w:t>
      </w:r>
      <w:r w:rsidRPr="00E12672">
        <w:rPr>
          <w:rFonts w:ascii="Times New Roman" w:hAnsi="Times New Roman"/>
          <w:i/>
          <w:sz w:val="24"/>
          <w:szCs w:val="24"/>
          <w:u w:val="single"/>
        </w:rPr>
        <w:t>Lipid- and polymer-based nanoparticles have been shown to induce HIV-specific antibody and cellular immune responses in animal studies</w:t>
      </w:r>
      <w:proofErr w:type="gramStart"/>
      <w:r w:rsidRPr="00E12672">
        <w:rPr>
          <w:rFonts w:ascii="Times New Roman" w:hAnsi="Times New Roman"/>
          <w:sz w:val="24"/>
          <w:szCs w:val="24"/>
        </w:rPr>
        <w:t>.“</w:t>
      </w:r>
      <w:proofErr w:type="gramEnd"/>
      <w:r w:rsidRPr="00E12672">
        <w:rPr>
          <w:rFonts w:ascii="Times New Roman" w:hAnsi="Times New Roman"/>
          <w:sz w:val="24"/>
          <w:szCs w:val="24"/>
        </w:rPr>
        <w:t xml:space="preserve"> (</w:t>
      </w:r>
      <w:proofErr w:type="gramStart"/>
      <w:r w:rsidRPr="00E12672">
        <w:rPr>
          <w:rFonts w:ascii="Times New Roman" w:hAnsi="Times New Roman"/>
          <w:sz w:val="24"/>
          <w:szCs w:val="24"/>
        </w:rPr>
        <w:t>emphasis</w:t>
      </w:r>
      <w:proofErr w:type="gramEnd"/>
      <w:r w:rsidRPr="00E12672">
        <w:rPr>
          <w:rFonts w:ascii="Times New Roman" w:hAnsi="Times New Roman"/>
          <w:sz w:val="24"/>
          <w:szCs w:val="24"/>
        </w:rPr>
        <w:t xml:space="preserve"> supplied, see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11, para 3, lines 1-5).</w:t>
      </w:r>
    </w:p>
    <w:p w:rsidR="002823CB" w:rsidRPr="00E12672" w:rsidRDefault="002823CB" w:rsidP="002823CB">
      <w:pPr>
        <w:pStyle w:val="ListParagraph"/>
        <w:numPr>
          <w:ilvl w:val="0"/>
          <w:numId w:val="4"/>
        </w:numPr>
        <w:spacing w:before="240" w:line="360" w:lineRule="auto"/>
        <w:ind w:left="567" w:right="141"/>
        <w:jc w:val="both"/>
        <w:rPr>
          <w:rFonts w:ascii="Times New Roman" w:hAnsi="Times New Roman"/>
          <w:sz w:val="24"/>
          <w:szCs w:val="24"/>
        </w:rPr>
      </w:pPr>
      <w:r w:rsidRPr="00E12672">
        <w:rPr>
          <w:rFonts w:ascii="Times New Roman" w:hAnsi="Times New Roman"/>
          <w:sz w:val="24"/>
          <w:szCs w:val="24"/>
        </w:rPr>
        <w:t>The authors note that the use of nanotherapuetics in HIV treatment may actually be cost effective. They note, “…</w:t>
      </w:r>
      <w:r w:rsidRPr="00E12672">
        <w:rPr>
          <w:rFonts w:ascii="Times New Roman" w:hAnsi="Times New Roman"/>
          <w:i/>
          <w:sz w:val="24"/>
          <w:szCs w:val="24"/>
        </w:rPr>
        <w:t xml:space="preserve">if the nanotherapeutics could improve patient adherence by reducing dosing frequency as expected, and </w:t>
      </w:r>
      <w:r w:rsidRPr="00E12672">
        <w:rPr>
          <w:rFonts w:ascii="Times New Roman" w:hAnsi="Times New Roman"/>
          <w:i/>
          <w:sz w:val="24"/>
          <w:szCs w:val="24"/>
        </w:rPr>
        <w:lastRenderedPageBreak/>
        <w:t>furthermore, if they can eradicate viral reservoirs leading to a sterile immunity, these advantages may effectively offset the added cost</w:t>
      </w:r>
      <w:r w:rsidRPr="00E12672">
        <w:rPr>
          <w:rFonts w:ascii="Times New Roman" w:hAnsi="Times New Roman"/>
          <w:sz w:val="24"/>
          <w:szCs w:val="24"/>
        </w:rPr>
        <w:t>.”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Tewodros </w:t>
      </w:r>
      <w:r w:rsidRPr="00E12672">
        <w:rPr>
          <w:rFonts w:ascii="Times New Roman" w:hAnsi="Times New Roman"/>
          <w:i/>
          <w:sz w:val="24"/>
          <w:szCs w:val="24"/>
        </w:rPr>
        <w:t>et al</w:t>
      </w:r>
      <w:r w:rsidRPr="00E12672">
        <w:rPr>
          <w:rFonts w:ascii="Times New Roman" w:hAnsi="Times New Roman"/>
          <w:sz w:val="24"/>
          <w:szCs w:val="24"/>
        </w:rPr>
        <w:t xml:space="preserve"> at internal page 14, para 2, lines 5-7).</w:t>
      </w:r>
    </w:p>
    <w:p w:rsidR="002823CB" w:rsidRPr="00E12672" w:rsidRDefault="002823CB" w:rsidP="002823CB">
      <w:pPr>
        <w:pStyle w:val="ListParagraph"/>
        <w:numPr>
          <w:ilvl w:val="0"/>
          <w:numId w:val="4"/>
        </w:numPr>
        <w:spacing w:before="240" w:line="360" w:lineRule="auto"/>
        <w:ind w:left="567" w:right="720"/>
        <w:jc w:val="both"/>
        <w:rPr>
          <w:rFonts w:ascii="Times New Roman" w:hAnsi="Times New Roman"/>
          <w:sz w:val="24"/>
          <w:szCs w:val="24"/>
        </w:rPr>
      </w:pPr>
      <w:r w:rsidRPr="00E12672">
        <w:rPr>
          <w:rFonts w:ascii="Times New Roman" w:hAnsi="Times New Roman"/>
          <w:sz w:val="24"/>
          <w:szCs w:val="24"/>
        </w:rPr>
        <w:t xml:space="preserve">Hence a POSITA on reading Tewodros </w:t>
      </w:r>
      <w:r w:rsidRPr="00E12672">
        <w:rPr>
          <w:rFonts w:ascii="Times New Roman" w:hAnsi="Times New Roman"/>
          <w:i/>
          <w:sz w:val="24"/>
          <w:szCs w:val="24"/>
        </w:rPr>
        <w:t xml:space="preserve">et al </w:t>
      </w:r>
      <w:r w:rsidRPr="00E12672">
        <w:rPr>
          <w:rFonts w:ascii="Times New Roman" w:hAnsi="Times New Roman"/>
          <w:sz w:val="24"/>
          <w:szCs w:val="24"/>
        </w:rPr>
        <w:t>would be taught that</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Nanotechnology can be used in HIV treatment for controlled release of the drug over a long period of time;</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That use of nanoscale drug delivery would reduce dosing frequency;</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Various size of the nanoparticles used in the past including 110-400nm, 185-250nm, 200nm, &lt;250nm, and ~ 350nm;</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Lipid- and polymer-based nanoparticles have been shown to induce HIV-specific antibody;</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Use of nanotechnology for HIV treatment may be cost effective.</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Hence, on reading Tewodros </w:t>
      </w:r>
      <w:r w:rsidRPr="00E12672">
        <w:rPr>
          <w:rFonts w:ascii="Times New Roman" w:hAnsi="Times New Roman"/>
          <w:i/>
          <w:sz w:val="24"/>
          <w:szCs w:val="24"/>
        </w:rPr>
        <w:t>et al</w:t>
      </w:r>
      <w:r w:rsidRPr="00E12672">
        <w:rPr>
          <w:rFonts w:ascii="Times New Roman" w:hAnsi="Times New Roman"/>
          <w:sz w:val="24"/>
          <w:szCs w:val="24"/>
        </w:rPr>
        <w:t xml:space="preserve"> with  WO ’764, US’519, US’386 and WO’665, a POSITA working on a composition comprising polycyclic carbamoylpyridone derivatives 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taught that such a composition may also be administered parenterally and can be in sterilized form. The POSITA would also be motivated to experiment with particle size of less than 400nm, 250nm or 100nm. The POSITA would also be informed that such use of nano-particles contribute to long-acting effect of the drug.</w:t>
      </w:r>
    </w:p>
    <w:p w:rsidR="002823CB" w:rsidRDefault="002823CB" w:rsidP="002823CB">
      <w:pPr>
        <w:pStyle w:val="ListParagraph"/>
        <w:spacing w:before="240" w:line="360" w:lineRule="auto"/>
        <w:ind w:left="567"/>
        <w:jc w:val="both"/>
        <w:rPr>
          <w:rFonts w:ascii="Times New Roman" w:hAnsi="Times New Roman"/>
          <w:b/>
          <w:sz w:val="24"/>
          <w:szCs w:val="24"/>
        </w:rPr>
      </w:pPr>
    </w:p>
    <w:p w:rsidR="002823CB" w:rsidRDefault="002823CB" w:rsidP="002823CB">
      <w:pPr>
        <w:pStyle w:val="ListParagraph"/>
        <w:spacing w:before="240" w:line="360" w:lineRule="auto"/>
        <w:ind w:left="567"/>
        <w:jc w:val="both"/>
        <w:rPr>
          <w:rFonts w:ascii="Times New Roman" w:hAnsi="Times New Roman"/>
          <w:b/>
          <w:sz w:val="24"/>
          <w:szCs w:val="24"/>
        </w:rPr>
      </w:pPr>
    </w:p>
    <w:p w:rsidR="002823CB" w:rsidRDefault="002823CB" w:rsidP="002823CB">
      <w:pPr>
        <w:pStyle w:val="ListParagraph"/>
        <w:spacing w:before="240" w:line="360" w:lineRule="auto"/>
        <w:ind w:left="567"/>
        <w:jc w:val="both"/>
        <w:rPr>
          <w:rFonts w:ascii="Times New Roman" w:hAnsi="Times New Roman"/>
          <w:b/>
          <w:sz w:val="24"/>
          <w:szCs w:val="24"/>
        </w:rPr>
      </w:pPr>
    </w:p>
    <w:p w:rsidR="002823CB" w:rsidRPr="00E12672" w:rsidRDefault="002823CB" w:rsidP="002823CB">
      <w:pPr>
        <w:pStyle w:val="ListParagraph"/>
        <w:spacing w:before="240" w:line="360" w:lineRule="auto"/>
        <w:ind w:left="567"/>
        <w:jc w:val="both"/>
        <w:rPr>
          <w:rFonts w:ascii="Times New Roman" w:hAnsi="Times New Roman"/>
          <w:b/>
          <w:sz w:val="24"/>
          <w:szCs w:val="24"/>
        </w:rPr>
      </w:pPr>
    </w:p>
    <w:p w:rsidR="002823CB" w:rsidRPr="00D645FB" w:rsidRDefault="002823CB" w:rsidP="002823CB">
      <w:pPr>
        <w:spacing w:before="240" w:line="360" w:lineRule="auto"/>
        <w:ind w:left="993" w:hanging="993"/>
        <w:jc w:val="both"/>
        <w:rPr>
          <w:rFonts w:ascii="Times New Roman" w:hAnsi="Times New Roman"/>
          <w:b/>
          <w:sz w:val="24"/>
          <w:szCs w:val="24"/>
          <w:u w:val="single"/>
        </w:rPr>
      </w:pPr>
      <w:r>
        <w:rPr>
          <w:rFonts w:ascii="Times New Roman" w:hAnsi="Times New Roman"/>
          <w:b/>
          <w:sz w:val="24"/>
          <w:szCs w:val="24"/>
        </w:rPr>
        <w:lastRenderedPageBreak/>
        <w:t xml:space="preserve">VII.1.d </w:t>
      </w:r>
      <w:proofErr w:type="gramStart"/>
      <w:r w:rsidRPr="00D645FB">
        <w:rPr>
          <w:rFonts w:ascii="Times New Roman" w:hAnsi="Times New Roman"/>
          <w:b/>
          <w:sz w:val="24"/>
          <w:szCs w:val="24"/>
          <w:u w:val="single"/>
        </w:rPr>
        <w:t>That</w:t>
      </w:r>
      <w:proofErr w:type="gramEnd"/>
      <w:r w:rsidRPr="00D645FB">
        <w:rPr>
          <w:rFonts w:ascii="Times New Roman" w:hAnsi="Times New Roman"/>
          <w:b/>
          <w:sz w:val="24"/>
          <w:szCs w:val="24"/>
          <w:u w:val="single"/>
        </w:rPr>
        <w:t xml:space="preserve"> development of long-acting injectable anti-HIV agents was known in the art on the priority date</w:t>
      </w:r>
    </w:p>
    <w:p w:rsidR="002823CB" w:rsidRPr="00E12672" w:rsidRDefault="002823CB" w:rsidP="002823CB">
      <w:pPr>
        <w:spacing w:before="240" w:line="360" w:lineRule="auto"/>
        <w:jc w:val="both"/>
        <w:rPr>
          <w:rFonts w:ascii="Times New Roman" w:hAnsi="Times New Roman"/>
          <w:sz w:val="24"/>
          <w:szCs w:val="24"/>
        </w:rPr>
      </w:pPr>
      <w:r w:rsidRPr="00E12672">
        <w:rPr>
          <w:rFonts w:ascii="Times New Roman" w:hAnsi="Times New Roman"/>
          <w:b/>
          <w:sz w:val="24"/>
          <w:szCs w:val="24"/>
        </w:rPr>
        <w:t xml:space="preserve">WO 2007/147882 A2 </w:t>
      </w:r>
      <w:r w:rsidRPr="00E12672">
        <w:rPr>
          <w:rFonts w:ascii="Times New Roman" w:hAnsi="Times New Roman"/>
          <w:sz w:val="24"/>
          <w:szCs w:val="24"/>
        </w:rPr>
        <w:t>(Published: 27.12.2007)</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The Opponent relies on patent application publication no. WO 2007/147882 A2 (hereinafter “WO ’882” and annexed hereto as </w:t>
      </w:r>
      <w:r w:rsidRPr="00E12672">
        <w:rPr>
          <w:rFonts w:ascii="Times New Roman" w:hAnsi="Times New Roman"/>
          <w:b/>
          <w:sz w:val="24"/>
          <w:szCs w:val="24"/>
        </w:rPr>
        <w:t>Exhibit</w:t>
      </w:r>
      <w:r>
        <w:rPr>
          <w:rFonts w:ascii="Times New Roman" w:hAnsi="Times New Roman"/>
          <w:b/>
          <w:sz w:val="24"/>
          <w:szCs w:val="24"/>
        </w:rPr>
        <w:t xml:space="preserve"> F</w:t>
      </w:r>
      <w:r w:rsidRPr="00E12672">
        <w:rPr>
          <w:rFonts w:ascii="Times New Roman" w:hAnsi="Times New Roman"/>
          <w:b/>
          <w:sz w:val="24"/>
          <w:szCs w:val="24"/>
        </w:rPr>
        <w:t>)</w:t>
      </w:r>
      <w:r w:rsidRPr="00E12672">
        <w:rPr>
          <w:rFonts w:ascii="Times New Roman" w:hAnsi="Times New Roman"/>
          <w:sz w:val="24"/>
          <w:szCs w:val="24"/>
        </w:rPr>
        <w:t xml:space="preserve"> titled. “Aqueous suspensions OF TMC278” published on 27.12.2007. Given that this document has been published before the date of priority of the present patent, viz. 16.09.2010, this publication can be relied on as prior art for the present patent. WO ’882 discloses pharmaceutical compositions for administration as intramuscular or subcutaneous injection comprising micro or nano particles of TMC278, suspended in an aqueous pharmaceutically acceptable carrier for treatment and prophylaxis of HIV infection (see WO ’882 at abstract).</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WO ’882 discloses a pharmaceutical composition comprising, “</w:t>
      </w:r>
      <w:r w:rsidRPr="00E12672">
        <w:rPr>
          <w:rFonts w:ascii="Times New Roman" w:hAnsi="Times New Roman"/>
          <w:i/>
          <w:sz w:val="24"/>
          <w:szCs w:val="24"/>
        </w:rPr>
        <w:t>(a)</w:t>
      </w:r>
      <w:r w:rsidRPr="00E12672">
        <w:rPr>
          <w:rFonts w:ascii="Times New Roman" w:hAnsi="Times New Roman"/>
          <w:i/>
          <w:sz w:val="24"/>
          <w:szCs w:val="24"/>
          <w:u w:val="single"/>
        </w:rPr>
        <w:t xml:space="preserve"> TMC278, a salt</w:t>
      </w:r>
      <w:r w:rsidRPr="00E12672">
        <w:rPr>
          <w:rFonts w:ascii="Times New Roman" w:hAnsi="Times New Roman"/>
          <w:i/>
          <w:sz w:val="24"/>
          <w:szCs w:val="24"/>
        </w:rPr>
        <w:t xml:space="preserve">, a stereoisomer or a stereoisomeric mixture thereof, in </w:t>
      </w:r>
      <w:r w:rsidRPr="00E12672">
        <w:rPr>
          <w:rFonts w:ascii="Times New Roman" w:hAnsi="Times New Roman"/>
          <w:i/>
          <w:sz w:val="24"/>
          <w:szCs w:val="24"/>
          <w:u w:val="single"/>
        </w:rPr>
        <w:t>micro- or nanoparticle form</w:t>
      </w:r>
      <w:r w:rsidRPr="00E12672">
        <w:rPr>
          <w:rFonts w:ascii="Times New Roman" w:hAnsi="Times New Roman"/>
          <w:i/>
          <w:sz w:val="24"/>
          <w:szCs w:val="24"/>
        </w:rPr>
        <w:t xml:space="preserve">, having a </w:t>
      </w:r>
      <w:r w:rsidRPr="00E12672">
        <w:rPr>
          <w:rFonts w:ascii="Times New Roman" w:hAnsi="Times New Roman"/>
          <w:i/>
          <w:sz w:val="24"/>
          <w:szCs w:val="24"/>
          <w:u w:val="single"/>
        </w:rPr>
        <w:t>surface modifier</w:t>
      </w:r>
      <w:r w:rsidRPr="00E12672">
        <w:rPr>
          <w:rFonts w:ascii="Times New Roman" w:hAnsi="Times New Roman"/>
          <w:i/>
          <w:sz w:val="24"/>
          <w:szCs w:val="24"/>
        </w:rPr>
        <w:t xml:space="preserve"> adsorbed to the surface thereof; and </w:t>
      </w:r>
    </w:p>
    <w:p w:rsidR="002823CB" w:rsidRPr="00E12672" w:rsidRDefault="002823CB" w:rsidP="002823CB">
      <w:pPr>
        <w:pStyle w:val="ListParagraph"/>
        <w:spacing w:before="240" w:line="360" w:lineRule="auto"/>
        <w:ind w:left="567" w:hanging="567"/>
        <w:jc w:val="both"/>
        <w:rPr>
          <w:rFonts w:ascii="Times New Roman" w:hAnsi="Times New Roman"/>
          <w:i/>
          <w:sz w:val="24"/>
          <w:szCs w:val="24"/>
        </w:rPr>
      </w:pPr>
      <w:r w:rsidRPr="00E12672">
        <w:rPr>
          <w:rFonts w:ascii="Times New Roman" w:hAnsi="Times New Roman"/>
          <w:i/>
          <w:sz w:val="24"/>
          <w:szCs w:val="24"/>
        </w:rPr>
        <w:t>(b)</w:t>
      </w:r>
      <w:r w:rsidRPr="00E12672">
        <w:rPr>
          <w:rFonts w:ascii="Times New Roman" w:hAnsi="Times New Roman"/>
          <w:i/>
          <w:sz w:val="24"/>
          <w:szCs w:val="24"/>
          <w:u w:val="single"/>
        </w:rPr>
        <w:t xml:space="preserve"> </w:t>
      </w:r>
      <w:proofErr w:type="gramStart"/>
      <w:r w:rsidRPr="00E12672">
        <w:rPr>
          <w:rFonts w:ascii="Times New Roman" w:hAnsi="Times New Roman"/>
          <w:i/>
          <w:sz w:val="24"/>
          <w:szCs w:val="24"/>
          <w:u w:val="single"/>
        </w:rPr>
        <w:t>a</w:t>
      </w:r>
      <w:proofErr w:type="gramEnd"/>
      <w:r w:rsidRPr="00E12672">
        <w:rPr>
          <w:rFonts w:ascii="Times New Roman" w:hAnsi="Times New Roman"/>
          <w:i/>
          <w:sz w:val="24"/>
          <w:szCs w:val="24"/>
          <w:u w:val="single"/>
        </w:rPr>
        <w:t xml:space="preserve"> pharmaceutically acceptable aqueous carrier</w:t>
      </w:r>
      <w:r w:rsidRPr="00E12672">
        <w:rPr>
          <w:rFonts w:ascii="Times New Roman" w:hAnsi="Times New Roman"/>
          <w:i/>
          <w:sz w:val="24"/>
          <w:szCs w:val="24"/>
        </w:rPr>
        <w:t>; wherein the TMC278 active ingredient is suspended.</w:t>
      </w:r>
      <w:r w:rsidRPr="00E12672">
        <w:rPr>
          <w:rFonts w:ascii="Times New Roman" w:hAnsi="Times New Roman"/>
          <w:sz w:val="24"/>
          <w:szCs w:val="24"/>
        </w:rPr>
        <w:t xml:space="preserve">” </w:t>
      </w:r>
      <w:proofErr w:type="gramStart"/>
      <w:r w:rsidRPr="00E12672">
        <w:rPr>
          <w:rFonts w:ascii="Times New Roman" w:hAnsi="Times New Roman"/>
          <w:sz w:val="24"/>
          <w:szCs w:val="24"/>
        </w:rPr>
        <w:t>( emphasis</w:t>
      </w:r>
      <w:proofErr w:type="gramEnd"/>
      <w:r w:rsidRPr="00E12672">
        <w:rPr>
          <w:rFonts w:ascii="Times New Roman" w:hAnsi="Times New Roman"/>
          <w:sz w:val="24"/>
          <w:szCs w:val="24"/>
        </w:rPr>
        <w:t xml:space="preserve"> supplied, WO ’882, internal page 3, lines 36-37, internal page 4 at lines</w:t>
      </w:r>
      <w:r w:rsidRPr="00E12672">
        <w:rPr>
          <w:rFonts w:ascii="Times New Roman" w:hAnsi="Times New Roman"/>
          <w:i/>
          <w:sz w:val="24"/>
          <w:szCs w:val="24"/>
        </w:rPr>
        <w:t xml:space="preserve"> </w:t>
      </w:r>
      <w:r w:rsidRPr="00E12672">
        <w:rPr>
          <w:rFonts w:ascii="Times New Roman" w:hAnsi="Times New Roman"/>
          <w:sz w:val="24"/>
          <w:szCs w:val="24"/>
        </w:rPr>
        <w:t>1-2 and internal page 16, lines 11-18, and internal page 28 at claim 1).</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Further, WO ’882 also discloses treatment of HIV by administration of “…</w:t>
      </w:r>
      <w:r w:rsidRPr="00E12672">
        <w:rPr>
          <w:rFonts w:ascii="Times New Roman" w:hAnsi="Times New Roman"/>
          <w:i/>
          <w:sz w:val="24"/>
          <w:szCs w:val="24"/>
        </w:rPr>
        <w:t xml:space="preserve">an effective amount of a pharmaceutical composition as specified above or hereinafter, for administration by </w:t>
      </w:r>
      <w:r w:rsidRPr="00E12672">
        <w:rPr>
          <w:rFonts w:ascii="Times New Roman" w:hAnsi="Times New Roman"/>
          <w:i/>
          <w:sz w:val="24"/>
          <w:szCs w:val="24"/>
          <w:u w:val="single"/>
        </w:rPr>
        <w:t>intramuscular or subcutaneous injection</w:t>
      </w:r>
      <w:r w:rsidRPr="00E12672">
        <w:rPr>
          <w:rFonts w:ascii="Times New Roman" w:hAnsi="Times New Roman"/>
          <w:i/>
          <w:sz w:val="24"/>
          <w:szCs w:val="24"/>
        </w:rPr>
        <w:t xml:space="preserve">; wherein the composition is administered or is to be administered intermittently at a time interval that is in the range of one week to one year, or one week to two years. Or, alternatively, the invention concerns the use of a pharmaceutical composition as specified above or hereinafter, for the manufacture of a medicament for the long term treatment of a subject infected with HIV, for administration by intramuscular or subcutaneous </w:t>
      </w:r>
      <w:r w:rsidRPr="00E12672">
        <w:rPr>
          <w:rFonts w:ascii="Times New Roman" w:hAnsi="Times New Roman"/>
          <w:i/>
          <w:sz w:val="24"/>
          <w:szCs w:val="24"/>
        </w:rPr>
        <w:lastRenderedPageBreak/>
        <w:t>injection, wherein the composition is administered or is to be administered intermittently at a time interval that is in the range of one week to one year, or one week to two years.</w:t>
      </w:r>
      <w:r w:rsidRPr="00E12672">
        <w:rPr>
          <w:rFonts w:ascii="Times New Roman" w:hAnsi="Times New Roman"/>
          <w:sz w:val="24"/>
          <w:szCs w:val="24"/>
        </w:rPr>
        <w:t>” (</w:t>
      </w:r>
      <w:proofErr w:type="gramStart"/>
      <w:r w:rsidRPr="00E12672">
        <w:rPr>
          <w:rFonts w:ascii="Times New Roman" w:hAnsi="Times New Roman"/>
          <w:sz w:val="24"/>
          <w:szCs w:val="24"/>
        </w:rPr>
        <w:t>emphasis</w:t>
      </w:r>
      <w:proofErr w:type="gramEnd"/>
      <w:r w:rsidRPr="00E12672">
        <w:rPr>
          <w:rFonts w:ascii="Times New Roman" w:hAnsi="Times New Roman"/>
          <w:sz w:val="24"/>
          <w:szCs w:val="24"/>
        </w:rPr>
        <w:t xml:space="preserve"> supplied, WO ’882, internal page 4, lines 11-22 and see internal page 5, lines 14-16).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Further it is stated that the disclosed composition, “</w:t>
      </w:r>
      <w:r w:rsidRPr="00E12672">
        <w:rPr>
          <w:rFonts w:ascii="Times New Roman" w:hAnsi="Times New Roman"/>
          <w:i/>
          <w:sz w:val="24"/>
          <w:szCs w:val="24"/>
        </w:rPr>
        <w:t>can be administered only once or a limited number of times such as twice, three, four, five or six times, or more...The pharmaceutical compositions of the present invention can be administered at the time intervals… in the range of one week to one month, or in the range of one month to three months, or in the range of three months to six months, or in the range of six months to twelve months. In one embodiment, the pharmaceutical composition can be administered once every two weeks, or once every month, or once every three months. In another embodiment the time interval is in the range of one to two weeks, or two to three weeks, or three to four weeks, or the time interval is in the range of one to two months, or two to three months, or three to four months, or three to six months, or six months to 12 months, or 12 months to 24 months. The time interval may be at least one week, but may also be several weeks, e.g. 2, 3, 4, 5 or 6 weeks, or at time intervals of one month, or of several months, e.g. 2, 3, 4, 5 or 6 months or even longer, e.g. 7, 8, 9 or 12 months. In one embodiment, the pharmaceutical compositions of the present invention are administered at a time interval of one, two or three months.</w:t>
      </w:r>
      <w:r w:rsidRPr="00E12672">
        <w:rPr>
          <w:rFonts w:ascii="Times New Roman" w:hAnsi="Times New Roman"/>
          <w:sz w:val="24"/>
          <w:szCs w:val="24"/>
        </w:rPr>
        <w:t>” (WO ’882, internal page 11, lines 4-23)</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Particularly claim 12 of WO ’882 claims use at particular intervals indicating, “</w:t>
      </w:r>
      <w:r w:rsidRPr="00E12672">
        <w:rPr>
          <w:rFonts w:ascii="Times New Roman" w:hAnsi="Times New Roman"/>
          <w:i/>
          <w:sz w:val="24"/>
          <w:szCs w:val="24"/>
        </w:rPr>
        <w:t>The use according to claim 8, wherein the pharmaceutical composition is administered at a time interval that is in the range of one week to one month, or in the range of one month to three months, or in the range of three months to six months, or in the range of six months to twelve months, or in the range of 12 months to 24 months.</w:t>
      </w:r>
      <w:r w:rsidRPr="00E12672">
        <w:rPr>
          <w:rFonts w:ascii="Times New Roman" w:hAnsi="Times New Roman"/>
          <w:sz w:val="24"/>
          <w:szCs w:val="24"/>
        </w:rPr>
        <w:t>” (see WO ’882, internal page 29 at claim 12)</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WO ’882 states that physico-chemical properties of TMC278 allow for the manufacture of micro- or nanoparticle suspensions, allowing its use in long-</w:t>
      </w:r>
      <w:r w:rsidRPr="00E12672">
        <w:rPr>
          <w:rFonts w:ascii="Times New Roman" w:hAnsi="Times New Roman"/>
          <w:sz w:val="24"/>
          <w:szCs w:val="24"/>
        </w:rPr>
        <w:lastRenderedPageBreak/>
        <w:t>term treatment and prevention of HIV infection thereby reducing pill-burden.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WO ’882, internal page 7, lines 5-10). It further notes that, “</w:t>
      </w:r>
      <w:r w:rsidRPr="00E12672">
        <w:rPr>
          <w:rFonts w:ascii="Times New Roman" w:hAnsi="Times New Roman"/>
          <w:i/>
          <w:sz w:val="24"/>
          <w:szCs w:val="24"/>
        </w:rPr>
        <w:t>The average effective particle size of the micro- or nanoparticles of the present invention may be below about 50 μm, or below about 20 μm, or below about 10 μm, or below about 1000 nm, or below about 500 nm, or below about 400 nm, or below about 300 nm, or below about 200 nm. The lower limit of the average effective particle size may be low, e.g. as low as about 100 nm or as low as about 50 nm. In one embodiment, the average effective particle size is in the range of about 50 nm to about 50 μm, or about 50 nm to about 20 μm, or about 50 nm to about 10 μm, or about 50 nm to about 1000 nm, about 50 nm to about 500 nm, or about 50 nm to about 400 nm, or about 50 nm to about 300 nm, or about 50 nm to about 250 nm, or about 100 nm to about 250 nm, or about 150 nm to about 220 nm, or 100 to 200 nm, or about 150 nm to about 200 nm, e.g. about 130 nm, or about 150 nm.</w:t>
      </w:r>
      <w:r w:rsidRPr="00E12672">
        <w:rPr>
          <w:rFonts w:ascii="Times New Roman" w:hAnsi="Times New Roman"/>
          <w:sz w:val="24"/>
          <w:szCs w:val="24"/>
        </w:rPr>
        <w:t>”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WO’882, internal page 9, lines 4-14).</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In particular, the preferred particle size of the composition is claimed in claim 5 stating, “</w:t>
      </w:r>
      <w:r w:rsidRPr="00E12672">
        <w:rPr>
          <w:rFonts w:ascii="Times New Roman" w:hAnsi="Times New Roman"/>
          <w:i/>
          <w:sz w:val="24"/>
          <w:szCs w:val="24"/>
        </w:rPr>
        <w:t>A composition according to any of claims 1 to 4, wherein the average effective particle size of the TMC278 micro- or nanoparticles is below about 50 μm, in particular below about 200 nm.</w:t>
      </w:r>
      <w:r w:rsidRPr="00E12672">
        <w:rPr>
          <w:rFonts w:ascii="Times New Roman" w:hAnsi="Times New Roman"/>
          <w:sz w:val="24"/>
          <w:szCs w:val="24"/>
        </w:rPr>
        <w:t>” (see WO’882, internal page 28, claim 5)</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WO ’882 also discloses the amount of dose to be administered for prevention stating that, “</w:t>
      </w:r>
      <w:r w:rsidRPr="00E12672">
        <w:rPr>
          <w:rFonts w:ascii="Times New Roman" w:hAnsi="Times New Roman"/>
          <w:i/>
          <w:sz w:val="24"/>
          <w:szCs w:val="24"/>
        </w:rPr>
        <w:t xml:space="preserve">In the instance of prevention, the dose to be administered should be calculated on a basis of about 0.2 mg/day to about 50 mg/day, or 0.5 mg/day to about 50 mg/day, or of about 1 mg/day to about 10 mg/day, or about 2 mg/day to about 5 mg/day, e.g. about 3 mg/day. This corresponds to a weekly dose of about 1.5 mg to about 350 mg, in particular of about 3.5 mg to about 350 mg, in particular of about 7 mg to about 70 mg, or about 14 mg to about 35 mg, e.g. about 35 mg, or to a monthly dose of from 6 mg to about 3000 mg, in particular about 15 mg to about 1,500 mg, more in particular of about 30 mg to about 300 mg, or </w:t>
      </w:r>
      <w:r w:rsidRPr="00E12672">
        <w:rPr>
          <w:rFonts w:ascii="Times New Roman" w:hAnsi="Times New Roman"/>
          <w:i/>
          <w:sz w:val="24"/>
          <w:szCs w:val="24"/>
        </w:rPr>
        <w:lastRenderedPageBreak/>
        <w:t>about 60 mg to about 150 mg, e.g. about 150 mg</w:t>
      </w:r>
      <w:r w:rsidRPr="00E12672">
        <w:rPr>
          <w:rFonts w:ascii="Times New Roman" w:hAnsi="Times New Roman"/>
          <w:sz w:val="24"/>
          <w:szCs w:val="24"/>
        </w:rPr>
        <w:t>.”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WO ’882, internal page 14, lines 36-38, internal page 15, lines 1-7).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Further, it also discloses the dose of the composition for treatment of HIV, it is stated that, “</w:t>
      </w:r>
      <w:r w:rsidRPr="00E12672">
        <w:rPr>
          <w:rFonts w:ascii="Times New Roman" w:hAnsi="Times New Roman"/>
          <w:i/>
          <w:sz w:val="24"/>
          <w:szCs w:val="24"/>
        </w:rPr>
        <w:t>In the instance of therapy, the dose to be administered should be somewhat higher and should be calculated on a basis of about 1 mg/day to about 150 mg/day, or of about 2 mg/day to about 100 mg/day, or of about 5 mg/day to about 50 mg/day, or about 10 mg/day to about 25 mg/day, e.g. about 15 mg/day. The corresponding weekly or monthly doses can be calculated as set forth above. For applications in prevention, the doses may be lower although the same dosing as for therapeutic applications may be used</w:t>
      </w:r>
      <w:r w:rsidRPr="00E12672">
        <w:rPr>
          <w:rFonts w:ascii="Times New Roman" w:hAnsi="Times New Roman"/>
          <w:sz w:val="24"/>
          <w:szCs w:val="24"/>
        </w:rPr>
        <w:t>.”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WO’882, internal page 15, lines 9-15).</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WO ’882 also identifies the surface modifiers that may be used in the disclosed composition. It notes that, “</w:t>
      </w:r>
      <w:r w:rsidRPr="00E12672">
        <w:rPr>
          <w:rFonts w:ascii="Times New Roman" w:hAnsi="Times New Roman"/>
          <w:i/>
          <w:sz w:val="24"/>
          <w:szCs w:val="24"/>
        </w:rPr>
        <w:t xml:space="preserve">Suitable surface modifiers can be selected from known organic and inorganic pharmaceutical excipients, including various polymers, low molecular weight oligomers, natural products and surfactants. Particular surface modifiers include nonionic and anionic surfactants. Representative examples of surface modifiers include gelatin, casein, lecithin, salts of negatively charged phospholipids or the acid form thereof (such as phosphatidyl glycerol, phosphatidyl inosite, phosphatidyl serine, phosphatic acid, and their salts such as alkali metal salts, e.g. their sodium salts, for example egg phosphatidyl glycerol sodium, such as the product available under the tradename Lipoid™ EPG), gum acacia, stearic acid, benzalkonium chloride, polyoxyethylene alkyl ethers, e.g., macrogol ethers such as cetomacrogol 1000, polyoxyethylene castor oil derivatives; polyoxyethylene stearates, colloidal silicon dioxide, sodium dodecylsulfate, carboxymethylcellulose sodium, bile salts such as sodium taurocholate, sodium desoxytaurocholate, sodium desoxycholate; methylcellulose, hydroxyethylcellulose, hydroxypropylcellulose, hydroxypropyl-methylcellulose, magnesium aluminate silicate, polyvinyl alcohol (PVA), poloxamers, such as Pluronic™ F68, F108 and F127 which are block copolymers of ethylene oxide and propylene oxide; tyloxapol; </w:t>
      </w:r>
      <w:r w:rsidRPr="00E12672">
        <w:rPr>
          <w:rFonts w:ascii="Times New Roman" w:hAnsi="Times New Roman"/>
          <w:i/>
          <w:sz w:val="24"/>
          <w:szCs w:val="24"/>
        </w:rPr>
        <w:lastRenderedPageBreak/>
        <w:t>Vitamin E-TGPS (α-tocopheryl polyethylene glycol succinate, in particular α-tocopheryl polyethylene glycol 1000 succinate); poloxamines, such as Tetronic™ 908 (T908) which is a tetrafunctional block copolymer derived from sequential addition of ethylene oxide and propylene oxide to ethylenediamine; dextran; lecithin; dioctyl ester of sodium sulfo succinic acid such as the products sold under the tradename Aerosol OT™ (AOT); sodium lauryl sulfate (Duponol™ P); alkyl aryl polyether sulfonate available under the tradename Triton™ X-200; polyoxyethylene sorbitan fatty acid esters (T weens™ 20, 40, 60 and 80); sorbitan esters of fatty acids (Span™ 20, 40, 60 and 80 or Arlacel™ 20, 40, 60 and 80); polyethylene glycols (such as those sold under the tradename Carbowax™ 3550 and 934); sucrose stearate and sucrose distearate mixtures such as the product available under the tradename Crodesta™ Fl 10 or Crodesta™ SL-40; hexyldecyl trimethyl ammonium chloride (CTAC); polyvinylpyrrolidone (PVP). If desired, two or more surface modifiers can be used in combination.</w:t>
      </w:r>
      <w:r w:rsidRPr="00E12672">
        <w:rPr>
          <w:rFonts w:ascii="Times New Roman" w:hAnsi="Times New Roman"/>
          <w:sz w:val="24"/>
          <w:szCs w:val="24"/>
        </w:rPr>
        <w:t>” (See WO ’882, internal page 16, lines 20-38 and internal page 17 at lines1-11).</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Claim 4 in particular claims, “</w:t>
      </w:r>
      <w:r w:rsidRPr="00E12672">
        <w:rPr>
          <w:rFonts w:ascii="Times New Roman" w:hAnsi="Times New Roman"/>
          <w:i/>
          <w:sz w:val="24"/>
          <w:szCs w:val="24"/>
        </w:rPr>
        <w:t>A composition according to claims 1 or 2, wherein the surface modifier is selected from Pluronic™ F108, Vitamin E TGPS, Tween™ 80, and Lipoid™ EPG</w:t>
      </w:r>
      <w:r w:rsidRPr="00E12672">
        <w:rPr>
          <w:rFonts w:ascii="Times New Roman" w:hAnsi="Times New Roman"/>
          <w:sz w:val="24"/>
          <w:szCs w:val="24"/>
        </w:rPr>
        <w:t>.”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WO’882, internal page 28, claim 4). It may be noted that Tween 80 is Polysorbate 80, also known as polyoxyethylene sorbitan monooleate. That is, WO ’882 disclosed that in a composition comprising long acting anti-HIV treatment to be used as an injectable, polysorbate 80 may be considered as a surface modifier.</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Hence a POSITA on reading WO’882 would be taught the following:</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Known anti-HIV agents (or its salts) suspended in an aqueous pharmaceutically acceptable carrier with a surface modifier can be used for treatment and prophylaxis of HIV infection;</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That such a composition may be administered as intramuscular or subcutaneous injection;</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lastRenderedPageBreak/>
        <w:t>That such a composition will have micro or nano particles of the components allowing its use in long term treatment;</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That such size of the particles would be preferably about 50 μm, in particular below about 200 nm (claim 5);</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That the surface modifier in the composition may include Pluronic™ F108, Vitamin E TGPS, Tween™ 80 (i.e. Polysorbate 80), and Lipoid™ EPG;</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That in case of use of the composition as HIV prevention treatment, the dosage may vary from 0.2 mg/day to about 50 mg/day;</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That in case of use of the composition as HIV therapy, the dosage may vary from 1 mg/day to about 150 mg/day;</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sz w:val="24"/>
          <w:szCs w:val="24"/>
        </w:rPr>
      </w:pPr>
      <w:r w:rsidRPr="00E12672">
        <w:rPr>
          <w:rFonts w:ascii="Times New Roman" w:hAnsi="Times New Roman"/>
          <w:sz w:val="24"/>
          <w:szCs w:val="24"/>
        </w:rPr>
        <w:t>That the above-mentioned pharmaceutical composition may be at a time interval that is in the range of one week to one month, or in the range of one month to three months, or in the range of three months to six months, or in the range of six months to twelve months, or in the range of 12 months to 24 months.</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Hence, on reading WO’882 with  WO ’764, US’519, US’386, WO’665 and Tewodros </w:t>
      </w:r>
      <w:r w:rsidRPr="00E12672">
        <w:rPr>
          <w:rFonts w:ascii="Times New Roman" w:hAnsi="Times New Roman"/>
          <w:i/>
          <w:sz w:val="24"/>
          <w:szCs w:val="24"/>
        </w:rPr>
        <w:t>et al</w:t>
      </w:r>
      <w:r w:rsidRPr="00E12672">
        <w:rPr>
          <w:rFonts w:ascii="Times New Roman" w:hAnsi="Times New Roman"/>
          <w:sz w:val="24"/>
          <w:szCs w:val="24"/>
        </w:rPr>
        <w:t>, a POSITA working on a composition comprising polycyclic carbamoylpyridone derivatives 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taught that such a composition may also be administered parenterally and can be in sterilized form. The POSITA would also be informed of the preferable particle size could be less than 400nm, 250nm or 100nm. Further, the POSITA would be motivated to examine effects of such composition at an interval of one month, two months, three months, six months, twelve months or twenty four months.</w:t>
      </w:r>
    </w:p>
    <w:p w:rsidR="002823CB" w:rsidRPr="00E12672" w:rsidRDefault="002823CB" w:rsidP="002823CB">
      <w:pPr>
        <w:spacing w:before="240" w:line="360" w:lineRule="auto"/>
        <w:ind w:right="720"/>
        <w:jc w:val="both"/>
        <w:rPr>
          <w:rFonts w:ascii="Times New Roman" w:hAnsi="Times New Roman"/>
          <w:sz w:val="24"/>
          <w:szCs w:val="24"/>
        </w:rPr>
      </w:pPr>
      <w:r w:rsidRPr="00E12672">
        <w:rPr>
          <w:rFonts w:ascii="Times New Roman" w:hAnsi="Times New Roman"/>
          <w:b/>
          <w:sz w:val="24"/>
          <w:szCs w:val="24"/>
        </w:rPr>
        <w:lastRenderedPageBreak/>
        <w:t xml:space="preserve">Baert </w:t>
      </w:r>
      <w:r w:rsidRPr="00E12672">
        <w:rPr>
          <w:rFonts w:ascii="Times New Roman" w:hAnsi="Times New Roman"/>
          <w:b/>
          <w:i/>
          <w:sz w:val="24"/>
          <w:szCs w:val="24"/>
        </w:rPr>
        <w:t>et al</w:t>
      </w:r>
      <w:r w:rsidRPr="00E12672">
        <w:rPr>
          <w:rFonts w:ascii="Times New Roman" w:hAnsi="Times New Roman"/>
          <w:b/>
          <w:sz w:val="24"/>
          <w:szCs w:val="24"/>
        </w:rPr>
        <w:t xml:space="preserve"> </w:t>
      </w:r>
      <w:r w:rsidRPr="00E12672">
        <w:rPr>
          <w:rFonts w:ascii="Times New Roman" w:hAnsi="Times New Roman"/>
          <w:sz w:val="24"/>
          <w:szCs w:val="24"/>
        </w:rPr>
        <w:t>(Published: 27.03.2009)</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The Opponent relies on publication titled, “</w:t>
      </w:r>
      <w:r w:rsidRPr="00E12672">
        <w:rPr>
          <w:rFonts w:ascii="Times New Roman" w:hAnsi="Times New Roman"/>
          <w:i/>
          <w:sz w:val="24"/>
          <w:szCs w:val="24"/>
        </w:rPr>
        <w:t>Development of a long-acting injectable formulation with nanoparticles of rilpivirine (TMC278) for HIV treatment”</w:t>
      </w:r>
      <w:r>
        <w:rPr>
          <w:rFonts w:ascii="Times New Roman" w:hAnsi="Times New Roman"/>
          <w:sz w:val="24"/>
          <w:szCs w:val="24"/>
        </w:rPr>
        <w:t>,</w:t>
      </w:r>
      <w:r>
        <w:rPr>
          <w:rFonts w:ascii="Times New Roman" w:hAnsi="Times New Roman"/>
          <w:i/>
          <w:sz w:val="24"/>
          <w:szCs w:val="24"/>
        </w:rPr>
        <w:t xml:space="preserve"> </w:t>
      </w:r>
      <w:r w:rsidRPr="00C2647E">
        <w:rPr>
          <w:rFonts w:ascii="Times New Roman" w:hAnsi="Times New Roman"/>
          <w:sz w:val="24"/>
          <w:szCs w:val="24"/>
        </w:rPr>
        <w:t>European Journal of Pharmaceutics and Biopharmaceutics 72 (2009) 502-508</w:t>
      </w:r>
      <w:r>
        <w:rPr>
          <w:rFonts w:ascii="Times New Roman" w:hAnsi="Times New Roman"/>
          <w:sz w:val="24"/>
          <w:szCs w:val="24"/>
        </w:rPr>
        <w:t>,</w:t>
      </w:r>
      <w:r w:rsidRPr="00E12672">
        <w:rPr>
          <w:rFonts w:ascii="Times New Roman" w:hAnsi="Times New Roman"/>
          <w:i/>
          <w:sz w:val="24"/>
          <w:szCs w:val="24"/>
        </w:rPr>
        <w:t xml:space="preserve"> </w:t>
      </w:r>
      <w:r w:rsidRPr="00E12672">
        <w:rPr>
          <w:rFonts w:ascii="Times New Roman" w:hAnsi="Times New Roman"/>
          <w:sz w:val="24"/>
          <w:szCs w:val="24"/>
        </w:rPr>
        <w:t xml:space="preserve">authored by Lieven Baert and other (hereinafter “Baert </w:t>
      </w:r>
      <w:r w:rsidRPr="00E12672">
        <w:rPr>
          <w:rFonts w:ascii="Times New Roman" w:hAnsi="Times New Roman"/>
          <w:i/>
          <w:sz w:val="24"/>
          <w:szCs w:val="24"/>
        </w:rPr>
        <w:t>et al</w:t>
      </w:r>
      <w:r w:rsidRPr="00E12672">
        <w:rPr>
          <w:rFonts w:ascii="Times New Roman" w:hAnsi="Times New Roman"/>
          <w:sz w:val="24"/>
          <w:szCs w:val="24"/>
        </w:rPr>
        <w:t xml:space="preserve">” and annexed hereto as </w:t>
      </w:r>
      <w:r w:rsidRPr="00E12672">
        <w:rPr>
          <w:rFonts w:ascii="Times New Roman" w:hAnsi="Times New Roman"/>
          <w:b/>
          <w:sz w:val="24"/>
          <w:szCs w:val="24"/>
        </w:rPr>
        <w:t>Exhibit</w:t>
      </w:r>
      <w:r>
        <w:rPr>
          <w:rFonts w:ascii="Times New Roman" w:hAnsi="Times New Roman"/>
          <w:b/>
          <w:sz w:val="24"/>
          <w:szCs w:val="24"/>
        </w:rPr>
        <w:t xml:space="preserve"> G</w:t>
      </w:r>
      <w:r w:rsidRPr="005B6062">
        <w:rPr>
          <w:rFonts w:ascii="Times New Roman" w:hAnsi="Times New Roman"/>
          <w:sz w:val="24"/>
          <w:szCs w:val="24"/>
        </w:rPr>
        <w:t>)</w:t>
      </w:r>
      <w:r w:rsidRPr="00E12672">
        <w:rPr>
          <w:rFonts w:ascii="Times New Roman" w:hAnsi="Times New Roman"/>
          <w:sz w:val="24"/>
          <w:szCs w:val="24"/>
        </w:rPr>
        <w:t xml:space="preserve"> published on 27.03.2009. Given that this document has been published before the date of priority of the present patent, viz. 16.09.2010, this publication can be relied on as prior art for the present patent. </w:t>
      </w:r>
    </w:p>
    <w:p w:rsidR="002823CB"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Baert </w:t>
      </w:r>
      <w:r w:rsidRPr="00E12672">
        <w:rPr>
          <w:rFonts w:ascii="Times New Roman" w:hAnsi="Times New Roman"/>
          <w:i/>
          <w:sz w:val="24"/>
          <w:szCs w:val="24"/>
        </w:rPr>
        <w:t xml:space="preserve">et al </w:t>
      </w:r>
      <w:r w:rsidRPr="00E12672">
        <w:rPr>
          <w:rFonts w:ascii="Times New Roman" w:hAnsi="Times New Roman"/>
          <w:sz w:val="24"/>
          <w:szCs w:val="24"/>
        </w:rPr>
        <w:t xml:space="preserve">recognize that there several factors for incomplete suppression of HIV and development of resistance including insufficient drug potency, non-compliance, restricted tissue penetration, drug resistance and several host </w:t>
      </w:r>
      <w:r>
        <w:rPr>
          <w:rFonts w:ascii="Times New Roman" w:hAnsi="Times New Roman"/>
          <w:sz w:val="24"/>
          <w:szCs w:val="24"/>
        </w:rPr>
        <w:t>factors, such as host genetics</w:t>
      </w:r>
      <w:r w:rsidRPr="00E12672">
        <w:rPr>
          <w:rFonts w:ascii="Times New Roman" w:hAnsi="Times New Roman"/>
          <w:sz w:val="24"/>
          <w:szCs w:val="24"/>
        </w:rPr>
        <w:t xml:space="preserve"> (see Baert </w:t>
      </w:r>
      <w:r w:rsidRPr="00E12672">
        <w:rPr>
          <w:rFonts w:ascii="Times New Roman" w:hAnsi="Times New Roman"/>
          <w:i/>
          <w:sz w:val="24"/>
          <w:szCs w:val="24"/>
        </w:rPr>
        <w:t>et al</w:t>
      </w:r>
      <w:r w:rsidRPr="00E12672">
        <w:rPr>
          <w:rFonts w:ascii="Times New Roman" w:hAnsi="Times New Roman"/>
          <w:sz w:val="24"/>
          <w:szCs w:val="24"/>
        </w:rPr>
        <w:t xml:space="preserve"> at internal page 502, LHS, para 1, lines 6-10). Further, the authors note that, “</w:t>
      </w:r>
      <w:r w:rsidRPr="00E12672">
        <w:rPr>
          <w:rFonts w:ascii="Times New Roman" w:hAnsi="Times New Roman"/>
          <w:i/>
          <w:sz w:val="24"/>
          <w:szCs w:val="24"/>
        </w:rPr>
        <w:t>A long-acting formulation of anti-HIV medication that generates sustained effective inhibitory concentrations with infrequent dosing may improve adherence to therapy.</w:t>
      </w:r>
      <w:r w:rsidRPr="00E12672">
        <w:rPr>
          <w:rFonts w:ascii="Times New Roman" w:hAnsi="Times New Roman"/>
          <w:sz w:val="24"/>
          <w:szCs w:val="24"/>
        </w:rPr>
        <w:t>” (</w:t>
      </w:r>
      <w:proofErr w:type="gramStart"/>
      <w:r w:rsidRPr="00E12672">
        <w:rPr>
          <w:rFonts w:ascii="Times New Roman" w:hAnsi="Times New Roman"/>
          <w:sz w:val="24"/>
          <w:szCs w:val="24"/>
        </w:rPr>
        <w:t>see</w:t>
      </w:r>
      <w:proofErr w:type="gramEnd"/>
      <w:r w:rsidRPr="00E12672">
        <w:rPr>
          <w:rFonts w:ascii="Times New Roman" w:hAnsi="Times New Roman"/>
          <w:sz w:val="24"/>
          <w:szCs w:val="24"/>
        </w:rPr>
        <w:t xml:space="preserve"> Baert </w:t>
      </w:r>
      <w:r w:rsidRPr="00E12672">
        <w:rPr>
          <w:rFonts w:ascii="Times New Roman" w:hAnsi="Times New Roman"/>
          <w:i/>
          <w:sz w:val="24"/>
          <w:szCs w:val="24"/>
        </w:rPr>
        <w:t>et al</w:t>
      </w:r>
      <w:r w:rsidRPr="00E12672">
        <w:rPr>
          <w:rFonts w:ascii="Times New Roman" w:hAnsi="Times New Roman"/>
          <w:sz w:val="24"/>
          <w:szCs w:val="24"/>
        </w:rPr>
        <w:t xml:space="preserve"> at internal page 502, LHS, para 2). That is, the authors recognize that solution for better adherence to anti-retroviral therapy could be long-acting formulations.</w:t>
      </w:r>
    </w:p>
    <w:p w:rsidR="002823CB"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Pr>
          <w:rFonts w:ascii="Times New Roman" w:hAnsi="Times New Roman"/>
          <w:sz w:val="24"/>
          <w:szCs w:val="24"/>
        </w:rPr>
        <w:t>Further, the authors note that, “</w:t>
      </w:r>
      <w:r w:rsidRPr="00AE3BDD">
        <w:rPr>
          <w:rFonts w:ascii="Times New Roman" w:hAnsi="Times New Roman"/>
          <w:i/>
          <w:sz w:val="24"/>
          <w:szCs w:val="24"/>
        </w:rPr>
        <w:t>The advent of nanotechnology, using suspensions of drug particles in the nanosize range, has provided opportunities to integrate poorly water- and oil-soluble molecules in long-acting injectable formulations: nanosizing allows to influence their release, while offering the advantage of higher mass packing (and thus higher dose) per volume and improved physical stability via use of more monodisperse material and one or more surfactants.</w:t>
      </w:r>
      <w:r>
        <w:rPr>
          <w:rFonts w:ascii="Times New Roman" w:hAnsi="Times New Roman"/>
          <w:sz w:val="24"/>
          <w:szCs w:val="24"/>
        </w:rPr>
        <w:t xml:space="preserve">” (see Baert </w:t>
      </w:r>
      <w:r>
        <w:rPr>
          <w:rFonts w:ascii="Times New Roman" w:hAnsi="Times New Roman"/>
          <w:i/>
          <w:sz w:val="24"/>
          <w:szCs w:val="24"/>
        </w:rPr>
        <w:t>et al</w:t>
      </w:r>
      <w:r>
        <w:rPr>
          <w:rFonts w:ascii="Times New Roman" w:hAnsi="Times New Roman"/>
          <w:sz w:val="24"/>
          <w:szCs w:val="24"/>
        </w:rPr>
        <w:t>, internal page 502, RHS, para 2, lines 7-14)</w:t>
      </w:r>
    </w:p>
    <w:p w:rsidR="002823CB" w:rsidRPr="00DB4E95"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Pr>
          <w:rFonts w:ascii="Times New Roman" w:hAnsi="Times New Roman"/>
          <w:sz w:val="24"/>
          <w:szCs w:val="24"/>
        </w:rPr>
        <w:t xml:space="preserve">Beart </w:t>
      </w:r>
      <w:r>
        <w:rPr>
          <w:rFonts w:ascii="Times New Roman" w:hAnsi="Times New Roman"/>
          <w:i/>
          <w:sz w:val="24"/>
          <w:szCs w:val="24"/>
        </w:rPr>
        <w:t>et al</w:t>
      </w:r>
      <w:r>
        <w:rPr>
          <w:rFonts w:ascii="Times New Roman" w:hAnsi="Times New Roman"/>
          <w:sz w:val="24"/>
          <w:szCs w:val="24"/>
        </w:rPr>
        <w:t xml:space="preserve"> also noted that the formulations they produced for testing, </w:t>
      </w:r>
      <w:proofErr w:type="gramStart"/>
      <w:r>
        <w:rPr>
          <w:rFonts w:ascii="Times New Roman" w:hAnsi="Times New Roman"/>
          <w:sz w:val="24"/>
          <w:szCs w:val="24"/>
        </w:rPr>
        <w:t xml:space="preserve">“ </w:t>
      </w:r>
      <w:r w:rsidRPr="00DB4E95">
        <w:rPr>
          <w:rFonts w:ascii="Times New Roman" w:hAnsi="Times New Roman"/>
          <w:sz w:val="24"/>
          <w:szCs w:val="24"/>
        </w:rPr>
        <w:t>were</w:t>
      </w:r>
      <w:proofErr w:type="gramEnd"/>
      <w:r w:rsidRPr="00DB4E95">
        <w:rPr>
          <w:rFonts w:ascii="Times New Roman" w:hAnsi="Times New Roman"/>
          <w:sz w:val="24"/>
          <w:szCs w:val="24"/>
        </w:rPr>
        <w:t xml:space="preserve"> produced under aseptic conditions; </w:t>
      </w:r>
      <w:r w:rsidRPr="00DB4E95">
        <w:rPr>
          <w:rFonts w:ascii="Times New Roman" w:hAnsi="Times New Roman"/>
          <w:sz w:val="24"/>
          <w:szCs w:val="24"/>
          <w:u w:val="single"/>
        </w:rPr>
        <w:t>for this purpose, TMC278 starting material was subjected to gamma-radiation</w:t>
      </w:r>
      <w:r w:rsidRPr="00DB4E95">
        <w:rPr>
          <w:rFonts w:ascii="Times New Roman" w:hAnsi="Times New Roman"/>
          <w:sz w:val="24"/>
          <w:szCs w:val="24"/>
        </w:rPr>
        <w:t>,</w:t>
      </w:r>
      <w:r>
        <w:rPr>
          <w:rFonts w:ascii="Times New Roman" w:hAnsi="Times New Roman"/>
          <w:sz w:val="24"/>
          <w:szCs w:val="24"/>
        </w:rPr>
        <w:t xml:space="preserve"> </w:t>
      </w:r>
      <w:r w:rsidRPr="00DB4E95">
        <w:rPr>
          <w:rFonts w:ascii="Times New Roman" w:hAnsi="Times New Roman"/>
          <w:sz w:val="24"/>
          <w:szCs w:val="24"/>
        </w:rPr>
        <w:t xml:space="preserve">which does not affect its </w:t>
      </w:r>
      <w:r w:rsidRPr="00DB4E95">
        <w:rPr>
          <w:rFonts w:ascii="Times New Roman" w:hAnsi="Times New Roman"/>
          <w:sz w:val="24"/>
          <w:szCs w:val="24"/>
        </w:rPr>
        <w:lastRenderedPageBreak/>
        <w:t>stability</w:t>
      </w:r>
      <w:r>
        <w:rPr>
          <w:rFonts w:ascii="Times New Roman" w:hAnsi="Times New Roman"/>
          <w:sz w:val="24"/>
          <w:szCs w:val="24"/>
        </w:rPr>
        <w:t>.” (</w:t>
      </w:r>
      <w:proofErr w:type="gramStart"/>
      <w:r>
        <w:rPr>
          <w:rFonts w:ascii="Times New Roman" w:hAnsi="Times New Roman"/>
          <w:sz w:val="24"/>
          <w:szCs w:val="24"/>
        </w:rPr>
        <w:t>see</w:t>
      </w:r>
      <w:proofErr w:type="gramEnd"/>
      <w:r>
        <w:rPr>
          <w:rFonts w:ascii="Times New Roman" w:hAnsi="Times New Roman"/>
          <w:sz w:val="24"/>
          <w:szCs w:val="24"/>
        </w:rPr>
        <w:t xml:space="preserve"> Baert </w:t>
      </w:r>
      <w:r>
        <w:rPr>
          <w:rFonts w:ascii="Times New Roman" w:hAnsi="Times New Roman"/>
          <w:i/>
          <w:sz w:val="24"/>
          <w:szCs w:val="24"/>
        </w:rPr>
        <w:t>et al</w:t>
      </w:r>
      <w:r>
        <w:rPr>
          <w:rFonts w:ascii="Times New Roman" w:hAnsi="Times New Roman"/>
          <w:sz w:val="24"/>
          <w:szCs w:val="24"/>
        </w:rPr>
        <w:t xml:space="preserve">, internal page 503, LHS, para 3, lines 16-21). The composition so produced was studied on dogs by administering the same intramuscularly. (see internal page 503, RHS, para 5, </w:t>
      </w:r>
      <w:r>
        <w:rPr>
          <w:rFonts w:ascii="Times New Roman" w:hAnsi="Times New Roman"/>
          <w:i/>
          <w:sz w:val="24"/>
          <w:szCs w:val="24"/>
        </w:rPr>
        <w:t xml:space="preserve">Pharmokinetic Study Design, </w:t>
      </w:r>
      <w:r>
        <w:rPr>
          <w:rFonts w:ascii="Times New Roman" w:hAnsi="Times New Roman"/>
          <w:sz w:val="24"/>
          <w:szCs w:val="24"/>
        </w:rPr>
        <w:t xml:space="preserve"> lines 4-6)</w:t>
      </w:r>
    </w:p>
    <w:p w:rsidR="002823CB" w:rsidRPr="00777B1F"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777B1F">
        <w:rPr>
          <w:rFonts w:ascii="Times New Roman" w:hAnsi="Times New Roman"/>
          <w:sz w:val="24"/>
          <w:szCs w:val="24"/>
        </w:rPr>
        <w:t>The study discloses that antiretroviral such as Rilpivirine can be nanosized by wet milling to make suitable formulations for parenteral administration. The authors discuss,</w:t>
      </w:r>
      <w:r>
        <w:rPr>
          <w:rFonts w:ascii="Times New Roman" w:hAnsi="Times New Roman"/>
          <w:sz w:val="24"/>
          <w:szCs w:val="24"/>
        </w:rPr>
        <w:t xml:space="preserve"> </w:t>
      </w:r>
      <w:r w:rsidRPr="00777B1F">
        <w:rPr>
          <w:rFonts w:ascii="Times New Roman" w:hAnsi="Times New Roman"/>
          <w:sz w:val="24"/>
          <w:szCs w:val="24"/>
        </w:rPr>
        <w:t>”</w:t>
      </w:r>
      <w:r w:rsidRPr="00777B1F">
        <w:rPr>
          <w:rFonts w:ascii="Times New Roman" w:hAnsi="Times New Roman"/>
          <w:i/>
          <w:sz w:val="24"/>
          <w:szCs w:val="24"/>
        </w:rPr>
        <w:t>With these studies, proof-of-concept was provided that:</w:t>
      </w:r>
    </w:p>
    <w:p w:rsidR="002823CB" w:rsidRPr="00777B1F" w:rsidRDefault="002823CB" w:rsidP="002823CB">
      <w:pPr>
        <w:pStyle w:val="ListParagraph"/>
        <w:spacing w:before="240" w:line="360" w:lineRule="auto"/>
        <w:ind w:left="567"/>
        <w:jc w:val="both"/>
        <w:rPr>
          <w:rFonts w:ascii="Times New Roman" w:hAnsi="Times New Roman"/>
          <w:i/>
          <w:sz w:val="24"/>
          <w:szCs w:val="24"/>
        </w:rPr>
      </w:pPr>
      <w:r w:rsidRPr="00777B1F">
        <w:rPr>
          <w:rFonts w:ascii="Times New Roman" w:hAnsi="Times New Roman"/>
          <w:i/>
          <w:sz w:val="24"/>
          <w:szCs w:val="24"/>
        </w:rPr>
        <w:t>1. The antiretroviral TMC278 (rilpivirine) can be nanosized by wet milling to suitable formulations for parenteral application. The wet milling with zirconium beads in the presence of a non-ionic surfactant allowed the formulation of sufficiently stable, homogeneous and resuspendable nanosuspensions, suitable for testing as long-acting injections.</w:t>
      </w:r>
    </w:p>
    <w:p w:rsidR="002823CB" w:rsidRPr="00D32D4C" w:rsidRDefault="002823CB" w:rsidP="002823CB">
      <w:pPr>
        <w:pStyle w:val="ListParagraph"/>
        <w:spacing w:before="240" w:line="360" w:lineRule="auto"/>
        <w:ind w:left="567"/>
        <w:jc w:val="both"/>
        <w:rPr>
          <w:rFonts w:ascii="Times New Roman" w:hAnsi="Times New Roman"/>
          <w:sz w:val="24"/>
          <w:szCs w:val="24"/>
        </w:rPr>
      </w:pPr>
      <w:r w:rsidRPr="00777B1F">
        <w:rPr>
          <w:rFonts w:ascii="Times New Roman" w:hAnsi="Times New Roman"/>
          <w:i/>
          <w:sz w:val="24"/>
          <w:szCs w:val="24"/>
        </w:rPr>
        <w:t>2. Long-acting formulations of TMC278 can be developed, using nanotechnology by wet milling in combination with a non-ionic surfactant: TMC278 nanoparticles, ideally with a 200 nm particle size, can be administered as a single-dose long-acting injection and can achieve stable sustained plasma concentration profiles detectable up to 3 months after IM or SC administration in dogs.</w:t>
      </w:r>
      <w:r>
        <w:rPr>
          <w:rFonts w:ascii="Times New Roman" w:hAnsi="Times New Roman"/>
          <w:sz w:val="24"/>
          <w:szCs w:val="24"/>
        </w:rPr>
        <w:t>” (</w:t>
      </w:r>
      <w:proofErr w:type="gramStart"/>
      <w:r>
        <w:rPr>
          <w:rFonts w:ascii="Times New Roman" w:hAnsi="Times New Roman"/>
          <w:sz w:val="24"/>
          <w:szCs w:val="24"/>
        </w:rPr>
        <w:t>see</w:t>
      </w:r>
      <w:proofErr w:type="gramEnd"/>
      <w:r>
        <w:rPr>
          <w:rFonts w:ascii="Times New Roman" w:hAnsi="Times New Roman"/>
          <w:sz w:val="24"/>
          <w:szCs w:val="24"/>
        </w:rPr>
        <w:t xml:space="preserve"> internal page 506, RHS at </w:t>
      </w:r>
      <w:r>
        <w:rPr>
          <w:rFonts w:ascii="Times New Roman" w:hAnsi="Times New Roman"/>
          <w:i/>
          <w:sz w:val="24"/>
          <w:szCs w:val="24"/>
        </w:rPr>
        <w:t>Discussion</w:t>
      </w:r>
      <w:r>
        <w:rPr>
          <w:rFonts w:ascii="Times New Roman" w:hAnsi="Times New Roman"/>
          <w:sz w:val="24"/>
          <w:szCs w:val="24"/>
        </w:rPr>
        <w:t>)</w:t>
      </w:r>
    </w:p>
    <w:p w:rsidR="002823CB" w:rsidRPr="00C57EFF" w:rsidRDefault="002823CB" w:rsidP="002823CB">
      <w:pPr>
        <w:pStyle w:val="ListParagraph"/>
        <w:numPr>
          <w:ilvl w:val="0"/>
          <w:numId w:val="4"/>
        </w:numPr>
        <w:spacing w:before="240" w:line="360" w:lineRule="auto"/>
        <w:ind w:left="567" w:hanging="567"/>
        <w:jc w:val="both"/>
        <w:rPr>
          <w:rFonts w:ascii="Times New Roman" w:hAnsi="Times New Roman"/>
          <w:caps/>
          <w:sz w:val="24"/>
          <w:szCs w:val="24"/>
        </w:rPr>
      </w:pPr>
      <w:r w:rsidRPr="00C57EFF">
        <w:rPr>
          <w:rFonts w:ascii="Times New Roman" w:hAnsi="Times New Roman"/>
          <w:caps/>
          <w:sz w:val="24"/>
          <w:szCs w:val="24"/>
        </w:rPr>
        <w:t>I</w:t>
      </w:r>
      <w:r>
        <w:rPr>
          <w:rFonts w:ascii="Times New Roman" w:hAnsi="Times New Roman"/>
          <w:sz w:val="24"/>
          <w:szCs w:val="24"/>
        </w:rPr>
        <w:t>n fact, the authors indicate that the particle size of 200nm may be a preferred size when they report, “</w:t>
      </w:r>
      <w:r w:rsidRPr="00C57EFF">
        <w:rPr>
          <w:rFonts w:ascii="Times New Roman" w:hAnsi="Times New Roman"/>
          <w:i/>
          <w:sz w:val="24"/>
          <w:szCs w:val="24"/>
        </w:rPr>
        <w:t>Moreover, the 200 nm nanosuspension, protected from light, proved to be stable during at least 1 year at room temperature.</w:t>
      </w:r>
      <w:r>
        <w:rPr>
          <w:rFonts w:ascii="Times New Roman" w:hAnsi="Times New Roman"/>
          <w:sz w:val="24"/>
          <w:szCs w:val="24"/>
        </w:rPr>
        <w:t>” (see internal page 507, LHS, para 1, lines 21-26)</w:t>
      </w:r>
    </w:p>
    <w:p w:rsidR="002823CB" w:rsidRPr="00462841"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A POSITA therefor</w:t>
      </w:r>
      <w:r>
        <w:rPr>
          <w:rFonts w:ascii="Times New Roman" w:hAnsi="Times New Roman"/>
          <w:sz w:val="24"/>
          <w:szCs w:val="24"/>
        </w:rPr>
        <w:t>e</w:t>
      </w:r>
      <w:r w:rsidRPr="00E12672">
        <w:rPr>
          <w:rFonts w:ascii="Times New Roman" w:hAnsi="Times New Roman"/>
          <w:sz w:val="24"/>
          <w:szCs w:val="24"/>
        </w:rPr>
        <w:t xml:space="preserve"> on reading Baert </w:t>
      </w:r>
      <w:r w:rsidRPr="00E12672">
        <w:rPr>
          <w:rFonts w:ascii="Times New Roman" w:hAnsi="Times New Roman"/>
          <w:i/>
          <w:sz w:val="24"/>
          <w:szCs w:val="24"/>
        </w:rPr>
        <w:t>et al</w:t>
      </w:r>
      <w:r w:rsidRPr="00E12672">
        <w:rPr>
          <w:rFonts w:ascii="Times New Roman" w:hAnsi="Times New Roman"/>
          <w:sz w:val="24"/>
          <w:szCs w:val="24"/>
        </w:rPr>
        <w:t xml:space="preserve"> would be informed that</w:t>
      </w:r>
    </w:p>
    <w:p w:rsidR="002823CB" w:rsidRPr="00462841" w:rsidRDefault="002823CB" w:rsidP="002823CB">
      <w:pPr>
        <w:pStyle w:val="ListParagraph"/>
        <w:numPr>
          <w:ilvl w:val="1"/>
          <w:numId w:val="4"/>
        </w:numPr>
        <w:spacing w:before="240" w:line="360" w:lineRule="auto"/>
        <w:jc w:val="both"/>
        <w:rPr>
          <w:rFonts w:ascii="Times New Roman" w:hAnsi="Times New Roman"/>
          <w:b/>
          <w:caps/>
          <w:sz w:val="24"/>
          <w:szCs w:val="24"/>
        </w:rPr>
      </w:pPr>
      <w:r>
        <w:rPr>
          <w:rFonts w:ascii="Times New Roman" w:hAnsi="Times New Roman"/>
          <w:sz w:val="24"/>
          <w:szCs w:val="24"/>
        </w:rPr>
        <w:t xml:space="preserve"> T</w:t>
      </w:r>
      <w:r w:rsidRPr="00E12672">
        <w:rPr>
          <w:rFonts w:ascii="Times New Roman" w:hAnsi="Times New Roman"/>
          <w:sz w:val="24"/>
          <w:szCs w:val="24"/>
        </w:rPr>
        <w:t>here is a need for long-acting HIV formulation for better treatment compliance.</w:t>
      </w:r>
    </w:p>
    <w:p w:rsidR="002823CB" w:rsidRPr="00462841" w:rsidRDefault="002823CB" w:rsidP="002823CB">
      <w:pPr>
        <w:pStyle w:val="ListParagraph"/>
        <w:numPr>
          <w:ilvl w:val="1"/>
          <w:numId w:val="4"/>
        </w:numPr>
        <w:spacing w:before="240" w:line="360" w:lineRule="auto"/>
        <w:jc w:val="both"/>
        <w:rPr>
          <w:rFonts w:ascii="Times New Roman" w:hAnsi="Times New Roman"/>
          <w:b/>
          <w:caps/>
          <w:sz w:val="24"/>
          <w:szCs w:val="24"/>
        </w:rPr>
      </w:pPr>
      <w:r>
        <w:rPr>
          <w:rFonts w:ascii="Times New Roman" w:hAnsi="Times New Roman"/>
          <w:sz w:val="24"/>
          <w:szCs w:val="24"/>
        </w:rPr>
        <w:t xml:space="preserve"> Formulations of anti-HIV agents can be nanosized for parenteral administration using wet milling; </w:t>
      </w:r>
    </w:p>
    <w:p w:rsidR="002823CB" w:rsidRPr="00AC60FB" w:rsidRDefault="002823CB" w:rsidP="002823CB">
      <w:pPr>
        <w:pStyle w:val="ListParagraph"/>
        <w:numPr>
          <w:ilvl w:val="1"/>
          <w:numId w:val="4"/>
        </w:numPr>
        <w:spacing w:before="240" w:line="360" w:lineRule="auto"/>
        <w:jc w:val="both"/>
        <w:rPr>
          <w:rFonts w:ascii="Times New Roman" w:hAnsi="Times New Roman"/>
          <w:b/>
          <w:caps/>
          <w:sz w:val="24"/>
          <w:szCs w:val="24"/>
        </w:rPr>
      </w:pPr>
      <w:r>
        <w:rPr>
          <w:rFonts w:ascii="Times New Roman" w:hAnsi="Times New Roman"/>
          <w:sz w:val="24"/>
          <w:szCs w:val="24"/>
        </w:rPr>
        <w:t>The particle size of 200nm in the nanosupension shows stability for at least one year at room temperature;</w:t>
      </w:r>
    </w:p>
    <w:p w:rsidR="002823CB" w:rsidRPr="001A24A5" w:rsidRDefault="002823CB" w:rsidP="002823CB">
      <w:pPr>
        <w:pStyle w:val="ListParagraph"/>
        <w:numPr>
          <w:ilvl w:val="1"/>
          <w:numId w:val="4"/>
        </w:numPr>
        <w:spacing w:before="240" w:line="360" w:lineRule="auto"/>
        <w:jc w:val="both"/>
        <w:rPr>
          <w:rFonts w:ascii="Times New Roman" w:hAnsi="Times New Roman"/>
          <w:b/>
          <w:caps/>
          <w:sz w:val="24"/>
          <w:szCs w:val="24"/>
        </w:rPr>
      </w:pPr>
      <w:r>
        <w:rPr>
          <w:rFonts w:ascii="Times New Roman" w:hAnsi="Times New Roman"/>
          <w:sz w:val="24"/>
          <w:szCs w:val="24"/>
        </w:rPr>
        <w:lastRenderedPageBreak/>
        <w:t>That such anti-HIV formulations may be used for intramuscular administration;</w:t>
      </w:r>
    </w:p>
    <w:p w:rsidR="002823CB" w:rsidRPr="00462841" w:rsidRDefault="002823CB" w:rsidP="002823CB">
      <w:pPr>
        <w:pStyle w:val="ListParagraph"/>
        <w:numPr>
          <w:ilvl w:val="1"/>
          <w:numId w:val="4"/>
        </w:numPr>
        <w:spacing w:before="240" w:line="360" w:lineRule="auto"/>
        <w:jc w:val="both"/>
        <w:rPr>
          <w:rFonts w:ascii="Times New Roman" w:hAnsi="Times New Roman"/>
          <w:b/>
          <w:caps/>
          <w:sz w:val="24"/>
          <w:szCs w:val="24"/>
        </w:rPr>
      </w:pPr>
      <w:r>
        <w:rPr>
          <w:rFonts w:ascii="Times New Roman" w:hAnsi="Times New Roman"/>
          <w:sz w:val="24"/>
          <w:szCs w:val="24"/>
        </w:rPr>
        <w:t>For formulations produced in aseptic conditions, it may be subjected to gamma irradiations.</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Pr>
          <w:rFonts w:ascii="Times New Roman" w:hAnsi="Times New Roman"/>
          <w:sz w:val="24"/>
          <w:szCs w:val="24"/>
        </w:rPr>
        <w:t xml:space="preserve">On reading Baert </w:t>
      </w:r>
      <w:r>
        <w:rPr>
          <w:rFonts w:ascii="Times New Roman" w:hAnsi="Times New Roman"/>
          <w:i/>
          <w:sz w:val="24"/>
          <w:szCs w:val="24"/>
        </w:rPr>
        <w:t>et al</w:t>
      </w:r>
      <w:r>
        <w:rPr>
          <w:rFonts w:ascii="Times New Roman" w:hAnsi="Times New Roman"/>
          <w:sz w:val="24"/>
          <w:szCs w:val="24"/>
        </w:rPr>
        <w:t xml:space="preserve"> POSITA would be motivated to particularly examine other anti-HIV agents in the size range of 200nm. </w:t>
      </w:r>
      <w:r w:rsidRPr="00E12672">
        <w:rPr>
          <w:rFonts w:ascii="Times New Roman" w:hAnsi="Times New Roman"/>
          <w:sz w:val="24"/>
          <w:szCs w:val="24"/>
        </w:rPr>
        <w:t xml:space="preserve">On reading this document with WO ’764, US’519, US’386, WO’665, Tewodros </w:t>
      </w:r>
      <w:r w:rsidRPr="00E12672">
        <w:rPr>
          <w:rFonts w:ascii="Times New Roman" w:hAnsi="Times New Roman"/>
          <w:i/>
          <w:sz w:val="24"/>
          <w:szCs w:val="24"/>
        </w:rPr>
        <w:t>et al</w:t>
      </w:r>
      <w:r w:rsidRPr="00E12672">
        <w:rPr>
          <w:rFonts w:ascii="Times New Roman" w:hAnsi="Times New Roman"/>
          <w:sz w:val="24"/>
          <w:szCs w:val="24"/>
        </w:rPr>
        <w:t xml:space="preserve"> and WO’882 a POSITA working on a composition comprising polycyclic carbamoylpyridone derivatives 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taught that such a composition may also be administered parenterally and can be in sterilized form. The POSITA would also be informed of the preferable particle size could be less than 400nm, 250nm or 100nm. Further, the POSITA would be motivated to examine effects of such composition at an interval of one month, two months, three months, six months, twelve months or twenty four months.</w:t>
      </w:r>
    </w:p>
    <w:p w:rsidR="002823CB" w:rsidRPr="00E12672" w:rsidRDefault="002823CB" w:rsidP="002823CB">
      <w:pPr>
        <w:spacing w:before="240" w:line="360" w:lineRule="auto"/>
        <w:ind w:left="567" w:hanging="567"/>
        <w:jc w:val="both"/>
        <w:rPr>
          <w:rFonts w:ascii="Times New Roman" w:hAnsi="Times New Roman"/>
          <w:sz w:val="24"/>
          <w:szCs w:val="24"/>
        </w:rPr>
      </w:pPr>
      <w:r w:rsidRPr="00E12672">
        <w:rPr>
          <w:rFonts w:ascii="Times New Roman" w:hAnsi="Times New Roman"/>
          <w:b/>
          <w:sz w:val="24"/>
          <w:szCs w:val="24"/>
        </w:rPr>
        <w:t>US 2010/0189796 A1 (</w:t>
      </w:r>
      <w:r w:rsidRPr="00E12672">
        <w:rPr>
          <w:rFonts w:ascii="Times New Roman" w:hAnsi="Times New Roman"/>
          <w:sz w:val="24"/>
          <w:szCs w:val="24"/>
        </w:rPr>
        <w:t xml:space="preserve">Published: 29.07.2010)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The Opponent relies on patent application publication no. US 2010/0189796 A1 (hereinafter “US ’796” and annexed hereto as </w:t>
      </w:r>
      <w:r>
        <w:rPr>
          <w:rFonts w:ascii="Times New Roman" w:hAnsi="Times New Roman"/>
          <w:b/>
          <w:sz w:val="24"/>
          <w:szCs w:val="24"/>
        </w:rPr>
        <w:t>Exhibit H</w:t>
      </w:r>
      <w:r w:rsidRPr="00E12672">
        <w:rPr>
          <w:rFonts w:ascii="Times New Roman" w:hAnsi="Times New Roman"/>
          <w:b/>
          <w:sz w:val="24"/>
          <w:szCs w:val="24"/>
        </w:rPr>
        <w:t>)</w:t>
      </w:r>
      <w:r w:rsidRPr="00E12672">
        <w:rPr>
          <w:rFonts w:ascii="Times New Roman" w:hAnsi="Times New Roman"/>
          <w:sz w:val="24"/>
          <w:szCs w:val="24"/>
        </w:rPr>
        <w:t xml:space="preserve"> titled, “</w:t>
      </w:r>
      <w:r w:rsidRPr="00E12672">
        <w:rPr>
          <w:rFonts w:ascii="Times New Roman" w:hAnsi="Times New Roman"/>
          <w:i/>
          <w:sz w:val="24"/>
          <w:szCs w:val="24"/>
        </w:rPr>
        <w:t>Crystalline form of 4-[[4-[[4-(2-Cyanoethenyl)-2</w:t>
      </w:r>
      <w:proofErr w:type="gramStart"/>
      <w:r w:rsidRPr="00E12672">
        <w:rPr>
          <w:rFonts w:ascii="Times New Roman" w:hAnsi="Times New Roman"/>
          <w:i/>
          <w:sz w:val="24"/>
          <w:szCs w:val="24"/>
        </w:rPr>
        <w:t>,6</w:t>
      </w:r>
      <w:proofErr w:type="gramEnd"/>
      <w:r w:rsidRPr="00E12672">
        <w:rPr>
          <w:rFonts w:ascii="Times New Roman" w:hAnsi="Times New Roman"/>
          <w:i/>
          <w:sz w:val="24"/>
          <w:szCs w:val="24"/>
        </w:rPr>
        <w:t xml:space="preserve">-dimethylphenyl]amino]2 pyrimidinyl]amino]benzonitrile” </w:t>
      </w:r>
      <w:r w:rsidRPr="00E12672">
        <w:rPr>
          <w:rFonts w:ascii="Times New Roman" w:hAnsi="Times New Roman"/>
          <w:sz w:val="24"/>
          <w:szCs w:val="24"/>
        </w:rPr>
        <w:t>published on 29.07.2010. Given that this document has been published before the date of priority of the present patent, viz. 16.09.2010, this publication can be relied on as prior art for the present patent.</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US ’796 relates to </w:t>
      </w:r>
      <w:r w:rsidRPr="00E12672">
        <w:rPr>
          <w:rFonts w:ascii="Times New Roman" w:hAnsi="Times New Roman"/>
          <w:i/>
          <w:sz w:val="24"/>
          <w:szCs w:val="24"/>
        </w:rPr>
        <w:t xml:space="preserve">“The invention concerns polymorph I of TMC278, its use and preparation. It further concerns pharmaceutical formulations </w:t>
      </w:r>
      <w:r w:rsidRPr="00E12672">
        <w:rPr>
          <w:rFonts w:ascii="Times New Roman" w:hAnsi="Times New Roman"/>
          <w:i/>
          <w:sz w:val="24"/>
          <w:szCs w:val="24"/>
        </w:rPr>
        <w:lastRenderedPageBreak/>
        <w:t xml:space="preserve">comprising its polymorph” (See US ’796 at Abstract). </w:t>
      </w:r>
      <w:r w:rsidRPr="00E12672">
        <w:rPr>
          <w:rFonts w:ascii="Times New Roman" w:hAnsi="Times New Roman"/>
          <w:sz w:val="24"/>
          <w:szCs w:val="24"/>
        </w:rPr>
        <w:t>TMC278 is also known as Rilpivirine which is an HIV inhibitor and shows activity against HIV strains that have acquired resistance to one or more non-nucleoside reverse transcriptase inhibitors, in particular efavirenz, Nevirapine and delavirdine (see US ’796, internal page 2, para 0020 and internal page 3 at para 0030).</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i/>
          <w:sz w:val="24"/>
          <w:szCs w:val="24"/>
        </w:rPr>
      </w:pPr>
      <w:r w:rsidRPr="00E12672">
        <w:rPr>
          <w:rFonts w:ascii="Times New Roman" w:hAnsi="Times New Roman"/>
          <w:sz w:val="24"/>
          <w:szCs w:val="24"/>
        </w:rPr>
        <w:t>US ’796 indicates that pharmaceutical composition comprising TMC278 may also be in the form of injectable suspensions in which case appropriate liquid carriers, suspending agents and the like may be employed (See US ’796, internal page 3, RHS, para 0034). Further, it notes that, “</w:t>
      </w:r>
      <w:r w:rsidRPr="00E12672">
        <w:rPr>
          <w:rFonts w:ascii="Times New Roman" w:hAnsi="Times New Roman"/>
          <w:i/>
          <w:sz w:val="24"/>
          <w:szCs w:val="24"/>
        </w:rPr>
        <w:t>The pharmaceutical composition in unit dose form may contain polymorph I of TMC278 in a quantity that is in the range of from about 10mg to about 25 mg, or from about 20 mg to about 200 mg, or from about 25mg to about 150mg, e.g.about 25mg, about 50mg</w:t>
      </w:r>
      <w:proofErr w:type="gramStart"/>
      <w:r w:rsidRPr="00E12672">
        <w:rPr>
          <w:rFonts w:ascii="Times New Roman" w:hAnsi="Times New Roman"/>
          <w:i/>
          <w:sz w:val="24"/>
          <w:szCs w:val="24"/>
        </w:rPr>
        <w:t>,about</w:t>
      </w:r>
      <w:proofErr w:type="gramEnd"/>
      <w:r w:rsidRPr="00E12672">
        <w:rPr>
          <w:rFonts w:ascii="Times New Roman" w:hAnsi="Times New Roman"/>
          <w:i/>
          <w:sz w:val="24"/>
          <w:szCs w:val="24"/>
        </w:rPr>
        <w:t xml:space="preserve"> 75mg, about 100mg or about 150mg. Of interest is a pharmaceutical composition, as specified herein, comprising:</w:t>
      </w:r>
    </w:p>
    <w:p w:rsidR="002823CB" w:rsidRPr="00E12672" w:rsidRDefault="002823CB" w:rsidP="002823CB">
      <w:pPr>
        <w:pStyle w:val="ListParagraph"/>
        <w:numPr>
          <w:ilvl w:val="0"/>
          <w:numId w:val="28"/>
        </w:numPr>
        <w:spacing w:before="240" w:line="360" w:lineRule="auto"/>
        <w:ind w:left="1134"/>
        <w:jc w:val="both"/>
        <w:rPr>
          <w:rFonts w:ascii="Times New Roman" w:hAnsi="Times New Roman"/>
          <w:b/>
          <w:i/>
          <w:sz w:val="24"/>
          <w:szCs w:val="24"/>
        </w:rPr>
      </w:pPr>
      <w:r w:rsidRPr="00E12672">
        <w:rPr>
          <w:rFonts w:ascii="Times New Roman" w:hAnsi="Times New Roman"/>
          <w:sz w:val="24"/>
          <w:szCs w:val="24"/>
        </w:rPr>
        <w:t>From 5 to 50% of polymorph 1 of TMC278;</w:t>
      </w:r>
    </w:p>
    <w:p w:rsidR="002823CB" w:rsidRPr="00E12672" w:rsidRDefault="002823CB" w:rsidP="002823CB">
      <w:pPr>
        <w:pStyle w:val="ListParagraph"/>
        <w:numPr>
          <w:ilvl w:val="0"/>
          <w:numId w:val="28"/>
        </w:numPr>
        <w:spacing w:before="240" w:line="360" w:lineRule="auto"/>
        <w:ind w:left="1134"/>
        <w:jc w:val="both"/>
        <w:rPr>
          <w:rFonts w:ascii="Times New Roman" w:hAnsi="Times New Roman"/>
          <w:b/>
          <w:i/>
          <w:sz w:val="24"/>
          <w:szCs w:val="24"/>
        </w:rPr>
      </w:pPr>
      <w:r w:rsidRPr="00E12672">
        <w:rPr>
          <w:rFonts w:ascii="Times New Roman" w:hAnsi="Times New Roman"/>
          <w:sz w:val="24"/>
          <w:szCs w:val="24"/>
        </w:rPr>
        <w:t>From 0.01% to 5% of wetting agents;</w:t>
      </w:r>
    </w:p>
    <w:p w:rsidR="002823CB" w:rsidRPr="00E12672" w:rsidRDefault="002823CB" w:rsidP="002823CB">
      <w:pPr>
        <w:pStyle w:val="ListParagraph"/>
        <w:numPr>
          <w:ilvl w:val="0"/>
          <w:numId w:val="28"/>
        </w:numPr>
        <w:spacing w:before="240" w:line="360" w:lineRule="auto"/>
        <w:ind w:left="1134"/>
        <w:jc w:val="both"/>
        <w:rPr>
          <w:rFonts w:ascii="Times New Roman" w:hAnsi="Times New Roman"/>
          <w:b/>
          <w:i/>
          <w:sz w:val="24"/>
          <w:szCs w:val="24"/>
        </w:rPr>
      </w:pPr>
      <w:r w:rsidRPr="00E12672">
        <w:rPr>
          <w:rFonts w:ascii="Times New Roman" w:hAnsi="Times New Roman"/>
          <w:i/>
          <w:sz w:val="24"/>
          <w:szCs w:val="24"/>
        </w:rPr>
        <w:t xml:space="preserve"> </w:t>
      </w:r>
      <w:r w:rsidRPr="00E12672">
        <w:rPr>
          <w:rFonts w:ascii="Times New Roman" w:hAnsi="Times New Roman"/>
          <w:sz w:val="24"/>
          <w:szCs w:val="24"/>
        </w:rPr>
        <w:t>From 40 to 92% diluent;</w:t>
      </w:r>
    </w:p>
    <w:p w:rsidR="002823CB" w:rsidRPr="00E12672" w:rsidRDefault="002823CB" w:rsidP="002823CB">
      <w:pPr>
        <w:pStyle w:val="ListParagraph"/>
        <w:numPr>
          <w:ilvl w:val="0"/>
          <w:numId w:val="28"/>
        </w:numPr>
        <w:spacing w:before="240" w:line="360" w:lineRule="auto"/>
        <w:ind w:left="1134"/>
        <w:jc w:val="both"/>
        <w:rPr>
          <w:rFonts w:ascii="Times New Roman" w:hAnsi="Times New Roman"/>
          <w:b/>
          <w:i/>
          <w:sz w:val="24"/>
          <w:szCs w:val="24"/>
        </w:rPr>
      </w:pPr>
      <w:r w:rsidRPr="00E12672">
        <w:rPr>
          <w:rFonts w:ascii="Times New Roman" w:hAnsi="Times New Roman"/>
          <w:sz w:val="24"/>
          <w:szCs w:val="24"/>
        </w:rPr>
        <w:t>From 0 to 10% of a polymer;</w:t>
      </w:r>
    </w:p>
    <w:p w:rsidR="002823CB" w:rsidRPr="00E12672" w:rsidRDefault="002823CB" w:rsidP="002823CB">
      <w:pPr>
        <w:pStyle w:val="ListParagraph"/>
        <w:numPr>
          <w:ilvl w:val="0"/>
          <w:numId w:val="28"/>
        </w:numPr>
        <w:spacing w:before="240" w:line="360" w:lineRule="auto"/>
        <w:ind w:left="1134"/>
        <w:jc w:val="both"/>
        <w:rPr>
          <w:rFonts w:ascii="Times New Roman" w:hAnsi="Times New Roman"/>
          <w:b/>
          <w:i/>
          <w:sz w:val="24"/>
          <w:szCs w:val="24"/>
        </w:rPr>
      </w:pPr>
      <w:r w:rsidRPr="00E12672">
        <w:rPr>
          <w:rFonts w:ascii="Times New Roman" w:hAnsi="Times New Roman"/>
          <w:sz w:val="24"/>
          <w:szCs w:val="24"/>
        </w:rPr>
        <w:t>From 2 to 10% of a disintegrant;</w:t>
      </w:r>
    </w:p>
    <w:p w:rsidR="002823CB" w:rsidRPr="00E12672" w:rsidRDefault="002823CB" w:rsidP="002823CB">
      <w:pPr>
        <w:pStyle w:val="ListParagraph"/>
        <w:numPr>
          <w:ilvl w:val="0"/>
          <w:numId w:val="28"/>
        </w:numPr>
        <w:spacing w:before="240" w:line="360" w:lineRule="auto"/>
        <w:ind w:left="1134"/>
        <w:jc w:val="both"/>
        <w:rPr>
          <w:rFonts w:ascii="Times New Roman" w:hAnsi="Times New Roman"/>
          <w:b/>
          <w:i/>
          <w:sz w:val="24"/>
          <w:szCs w:val="24"/>
        </w:rPr>
      </w:pPr>
      <w:r w:rsidRPr="00E12672">
        <w:rPr>
          <w:rFonts w:ascii="Times New Roman" w:hAnsi="Times New Roman"/>
          <w:sz w:val="24"/>
          <w:szCs w:val="24"/>
        </w:rPr>
        <w:t>From 0.1 to 5% of a glidant;</w:t>
      </w:r>
    </w:p>
    <w:p w:rsidR="002823CB" w:rsidRPr="00E12672" w:rsidRDefault="002823CB" w:rsidP="002823CB">
      <w:pPr>
        <w:pStyle w:val="ListParagraph"/>
        <w:numPr>
          <w:ilvl w:val="0"/>
          <w:numId w:val="28"/>
        </w:numPr>
        <w:spacing w:before="240" w:line="360" w:lineRule="auto"/>
        <w:ind w:left="1134"/>
        <w:jc w:val="both"/>
        <w:rPr>
          <w:rFonts w:ascii="Times New Roman" w:hAnsi="Times New Roman"/>
          <w:b/>
          <w:i/>
          <w:sz w:val="24"/>
          <w:szCs w:val="24"/>
        </w:rPr>
      </w:pPr>
      <w:r w:rsidRPr="00E12672">
        <w:rPr>
          <w:rFonts w:ascii="Times New Roman" w:hAnsi="Times New Roman"/>
          <w:sz w:val="24"/>
          <w:szCs w:val="24"/>
        </w:rPr>
        <w:t>From 0.1 to 1.5% of a lubricant.” (See US ’796, internal page 3, para 0035)</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i/>
          <w:sz w:val="24"/>
          <w:szCs w:val="24"/>
        </w:rPr>
      </w:pPr>
      <w:r w:rsidRPr="00E12672">
        <w:rPr>
          <w:rFonts w:ascii="Times New Roman" w:hAnsi="Times New Roman"/>
          <w:sz w:val="24"/>
          <w:szCs w:val="24"/>
        </w:rPr>
        <w:t xml:space="preserve">US ’796 acknowledged that the then used anti-HIV drugs required frequent administration of relatively high doses. It noted that a high pill burden causes patients to fail to comply with the prescribed dosage regimen thereby reducing effectiveness and leading to potential resistant mutants. This was identified as the need for an anti-HIV therapy that avoids high pill burden that could be administered at long-time intervals such as a week, a month or longer (See US ’796, internal page 1, para 0008). Hence, it was known in </w:t>
      </w:r>
      <w:r w:rsidRPr="00E12672">
        <w:rPr>
          <w:rFonts w:ascii="Times New Roman" w:hAnsi="Times New Roman"/>
          <w:sz w:val="24"/>
          <w:szCs w:val="24"/>
        </w:rPr>
        <w:lastRenderedPageBreak/>
        <w:t>the art that there is a need for better regimen compliance and the same can be achieved by long acting anti-HIV agents which could be administered at time intervals of a week, a month or longer.</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i/>
          <w:sz w:val="24"/>
          <w:szCs w:val="24"/>
        </w:rPr>
      </w:pPr>
      <w:r w:rsidRPr="00E12672">
        <w:rPr>
          <w:rFonts w:ascii="Times New Roman" w:hAnsi="Times New Roman"/>
          <w:sz w:val="24"/>
          <w:szCs w:val="24"/>
        </w:rPr>
        <w:t xml:space="preserve">US ’796 states that </w:t>
      </w:r>
      <w:r w:rsidRPr="00E12672">
        <w:rPr>
          <w:rFonts w:ascii="Times New Roman" w:hAnsi="Times New Roman"/>
          <w:i/>
          <w:sz w:val="24"/>
          <w:szCs w:val="24"/>
        </w:rPr>
        <w:t xml:space="preserve">“The invention further concerns a method of treating a subject infected with HIV, said method comprising the administration to said subject by </w:t>
      </w:r>
      <w:r w:rsidRPr="00E12672">
        <w:rPr>
          <w:rFonts w:ascii="Times New Roman" w:hAnsi="Times New Roman"/>
          <w:i/>
          <w:sz w:val="24"/>
          <w:szCs w:val="24"/>
          <w:u w:val="single"/>
        </w:rPr>
        <w:t>intramuscular or subcutaneous injection</w:t>
      </w:r>
      <w:r w:rsidRPr="00E12672">
        <w:rPr>
          <w:rFonts w:ascii="Times New Roman" w:hAnsi="Times New Roman"/>
          <w:i/>
          <w:sz w:val="24"/>
          <w:szCs w:val="24"/>
        </w:rPr>
        <w:t xml:space="preserve">, of an anti- HIV effective amount of a micro or </w:t>
      </w:r>
      <w:r w:rsidRPr="00E12672">
        <w:rPr>
          <w:rFonts w:ascii="Times New Roman" w:hAnsi="Times New Roman"/>
          <w:i/>
          <w:sz w:val="24"/>
          <w:szCs w:val="24"/>
          <w:u w:val="single"/>
        </w:rPr>
        <w:t>nanoparticle composition</w:t>
      </w:r>
      <w:r w:rsidRPr="00E12672">
        <w:rPr>
          <w:rFonts w:ascii="Times New Roman" w:hAnsi="Times New Roman"/>
          <w:i/>
          <w:sz w:val="24"/>
          <w:szCs w:val="24"/>
        </w:rPr>
        <w:t xml:space="preserve"> as specified herein. In another aspect the said method is for the </w:t>
      </w:r>
      <w:r w:rsidRPr="00E12672">
        <w:rPr>
          <w:rFonts w:ascii="Times New Roman" w:hAnsi="Times New Roman"/>
          <w:i/>
          <w:sz w:val="24"/>
          <w:szCs w:val="24"/>
          <w:u w:val="single"/>
        </w:rPr>
        <w:t>long term treatment</w:t>
      </w:r>
      <w:r w:rsidRPr="00E12672">
        <w:rPr>
          <w:rFonts w:ascii="Times New Roman" w:hAnsi="Times New Roman"/>
          <w:i/>
          <w:sz w:val="24"/>
          <w:szCs w:val="24"/>
        </w:rPr>
        <w:t xml:space="preserve"> and the composition is administered or is to be administered intermittently </w:t>
      </w:r>
      <w:r w:rsidRPr="00E12672">
        <w:rPr>
          <w:rFonts w:ascii="Times New Roman" w:hAnsi="Times New Roman"/>
          <w:i/>
          <w:sz w:val="24"/>
          <w:szCs w:val="24"/>
          <w:u w:val="single"/>
        </w:rPr>
        <w:t>at a time interval that is in the range of one week to one year, or one week to two years, or one month to three months</w:t>
      </w:r>
      <w:r w:rsidRPr="00E12672">
        <w:rPr>
          <w:rFonts w:ascii="Times New Roman" w:hAnsi="Times New Roman"/>
          <w:i/>
          <w:sz w:val="24"/>
          <w:szCs w:val="24"/>
        </w:rPr>
        <w:t xml:space="preserve">. Or alternatively invention concerns the use of micro- or nanoparticle composition as specified herein, for the manufacture of a medicament for treating HIV infection. Or, said use is for the long term treatment and the composition is administered or is to be administered intermittently at a time interval that is in the range of </w:t>
      </w:r>
      <w:r w:rsidRPr="00E12672">
        <w:rPr>
          <w:rFonts w:ascii="Times New Roman" w:hAnsi="Times New Roman"/>
          <w:i/>
          <w:sz w:val="24"/>
          <w:szCs w:val="24"/>
          <w:u w:val="single"/>
        </w:rPr>
        <w:t>one week to one year, or one week to two years, or one month to three months</w:t>
      </w:r>
      <w:r w:rsidRPr="00E12672">
        <w:rPr>
          <w:rFonts w:ascii="Times New Roman" w:hAnsi="Times New Roman"/>
          <w:i/>
          <w:sz w:val="24"/>
          <w:szCs w:val="24"/>
        </w:rPr>
        <w:t xml:space="preserve">.” </w:t>
      </w:r>
      <w:r w:rsidRPr="00E12672">
        <w:rPr>
          <w:rFonts w:ascii="Times New Roman" w:hAnsi="Times New Roman"/>
          <w:sz w:val="24"/>
          <w:szCs w:val="24"/>
        </w:rPr>
        <w:t>(emphasis supplied, See US ’796 at internal page 2, para [0023] and see generally para 0024)</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It is further disclosed that the micro- or nanoparticle composition of Polymorph I of TMC278 provides release of active ingredient TMC278 over a prolonged period that may over a range of one week up to one year or up to two years or a term in the range of one to two weeks, or a term in the range of one to two months, or two to three months, or three to four months, or three to six months to 12 months, or 12-24 months. After administration of the micro or nano particle composition it was found that TMC278 was steadily released in the body for a prolonged period of time providing anti-HIV treatment. (See US ’796, internal page 4, paras 0043, 0044).</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 xml:space="preserve">In fact, in terms of time internal for administration of the disclosed composition it is noted that the composition may be administered at an interval such as, </w:t>
      </w:r>
      <w:proofErr w:type="gramStart"/>
      <w:r w:rsidRPr="00E12672">
        <w:rPr>
          <w:rFonts w:ascii="Times New Roman" w:hAnsi="Times New Roman"/>
          <w:sz w:val="24"/>
          <w:szCs w:val="24"/>
        </w:rPr>
        <w:t>“</w:t>
      </w:r>
      <w:r w:rsidRPr="00E12672">
        <w:rPr>
          <w:rFonts w:ascii="Times New Roman" w:hAnsi="Times New Roman"/>
          <w:i/>
          <w:sz w:val="24"/>
          <w:szCs w:val="24"/>
        </w:rPr>
        <w:t xml:space="preserve"> that</w:t>
      </w:r>
      <w:proofErr w:type="gramEnd"/>
      <w:r w:rsidRPr="00E12672">
        <w:rPr>
          <w:rFonts w:ascii="Times New Roman" w:hAnsi="Times New Roman"/>
          <w:i/>
          <w:sz w:val="24"/>
          <w:szCs w:val="24"/>
        </w:rPr>
        <w:t xml:space="preserve"> in the range of one week to one month, or in the range of one month to three months, or in the range of three months to six </w:t>
      </w:r>
      <w:r w:rsidRPr="00E12672">
        <w:rPr>
          <w:rFonts w:ascii="Times New Roman" w:hAnsi="Times New Roman"/>
          <w:i/>
          <w:sz w:val="24"/>
          <w:szCs w:val="24"/>
        </w:rPr>
        <w:lastRenderedPageBreak/>
        <w:t>months, or in the range of six months to twelve months, e.g. once every two weeks, or once every month, or once every three months. In another embodiment the time interval is in the range of one to two weeks, or two to three weeks, or three to four weeks, or the time interval is in the range of one to two months, or two to three months, or three to four months, or three to six months, or six to 12 months, or 12 to 24 months. The time interval may be at least one week but may be several weeks, e.g. 2, 3, 4, 5, or 6 weeks, or one month, or 2, 3, 4, 5, or 6 months, or longer, e.g. 9 or twelve months.</w:t>
      </w:r>
      <w:r w:rsidRPr="00E12672">
        <w:rPr>
          <w:rFonts w:ascii="Times New Roman" w:hAnsi="Times New Roman"/>
          <w:sz w:val="24"/>
          <w:szCs w:val="24"/>
        </w:rPr>
        <w:t>” (See US ’796, internal page 4, para 0048).</w:t>
      </w:r>
      <w:r w:rsidRPr="00E12672">
        <w:rPr>
          <w:rFonts w:ascii="Times New Roman" w:hAnsi="Times New Roman"/>
          <w:i/>
          <w:sz w:val="24"/>
          <w:szCs w:val="24"/>
        </w:rPr>
        <w:t xml:space="preserve">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i/>
          <w:sz w:val="24"/>
          <w:szCs w:val="24"/>
        </w:rPr>
      </w:pPr>
      <w:r w:rsidRPr="00E12672">
        <w:rPr>
          <w:rFonts w:ascii="Times New Roman" w:hAnsi="Times New Roman"/>
          <w:sz w:val="24"/>
          <w:szCs w:val="24"/>
        </w:rPr>
        <w:t>Claim 10 of US ’796 claims the administration of the drug used for treating HIV infection as “</w:t>
      </w:r>
      <w:r w:rsidRPr="00E12672">
        <w:rPr>
          <w:rFonts w:ascii="Times New Roman" w:hAnsi="Times New Roman"/>
          <w:i/>
          <w:sz w:val="24"/>
          <w:szCs w:val="24"/>
        </w:rPr>
        <w:t>The method of claim 13, wherein the composition is administered or is to be administered at a time interval that is in the range of one week to one month, or in the range of one month to three months, or in the range of three months to six months</w:t>
      </w:r>
      <w:r w:rsidRPr="00E12672">
        <w:rPr>
          <w:rFonts w:ascii="Times New Roman" w:hAnsi="Times New Roman"/>
          <w:sz w:val="24"/>
          <w:szCs w:val="24"/>
        </w:rPr>
        <w:t>”. (see US ’796, internal page 10)</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Claim 16 of US ’796 claims the administration of the drug used for preventing HIV infection as “</w:t>
      </w:r>
      <w:r w:rsidRPr="00E12672">
        <w:rPr>
          <w:rFonts w:ascii="Times New Roman" w:hAnsi="Times New Roman"/>
          <w:i/>
          <w:sz w:val="24"/>
          <w:szCs w:val="24"/>
        </w:rPr>
        <w:t>The method of claim 14, wherein the composition is administered or is to be administered at a time interval that is in the range of one week to one month, or in the range of one month to three months, or in the range of three months to six months</w:t>
      </w:r>
      <w:r w:rsidRPr="00E12672">
        <w:rPr>
          <w:rFonts w:ascii="Times New Roman" w:hAnsi="Times New Roman"/>
          <w:sz w:val="24"/>
          <w:szCs w:val="24"/>
        </w:rPr>
        <w:t>”. (see US ’796, internal page 10)</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US ’796 also discloses that Polymorph I of TMC278 can be converted into micro or nano particle suspensions that can be used in long term treatment of HIV infections as well as in long-term prevention of HIV infection with limited number of drug administration. (See US ’796, internal page 3, para 0036). In one of the embodiments disclosed in US ’796, the Polymorph I of TMC278 is in nanoparticle form. It is noted that, “</w:t>
      </w:r>
      <w:r w:rsidRPr="00E12672">
        <w:rPr>
          <w:rFonts w:ascii="Times New Roman" w:hAnsi="Times New Roman"/>
          <w:i/>
          <w:sz w:val="24"/>
          <w:szCs w:val="24"/>
        </w:rPr>
        <w:t xml:space="preserve">The average effective particle size of the micro- or nanparticles of the present invention may be below about 50 µm, or below about 20µm, or below about 10 µm, or below about 1000 nm, or below about 500 nm, or below about 400 nm, or below about 300 nm, or below about 200 nm. The lower limit of the average effective particle size may be low, e.g. as low as about 100nm or as low as </w:t>
      </w:r>
      <w:r w:rsidRPr="00E12672">
        <w:rPr>
          <w:rFonts w:ascii="Times New Roman" w:hAnsi="Times New Roman"/>
          <w:i/>
          <w:sz w:val="24"/>
          <w:szCs w:val="24"/>
        </w:rPr>
        <w:lastRenderedPageBreak/>
        <w:t>about 50 nm. In one embodiment, the average effective particle size is in the range of about 50nm to about 50µm, or about 50 nm to about 20µm, or about 50 nm to about 10µm, or about 50nm to about 1000nm, about 50 nm to about 500nm, or about 50nm to about 300nm, or about 100nm to about 250nm, or about 125nm to about 175nm</w:t>
      </w:r>
      <w:proofErr w:type="gramStart"/>
      <w:r w:rsidRPr="00E12672">
        <w:rPr>
          <w:rFonts w:ascii="Times New Roman" w:hAnsi="Times New Roman"/>
          <w:i/>
          <w:sz w:val="24"/>
          <w:szCs w:val="24"/>
        </w:rPr>
        <w:t>,e.g</w:t>
      </w:r>
      <w:proofErr w:type="gramEnd"/>
      <w:r w:rsidRPr="00E12672">
        <w:rPr>
          <w:rFonts w:ascii="Times New Roman" w:hAnsi="Times New Roman"/>
          <w:i/>
          <w:sz w:val="24"/>
          <w:szCs w:val="24"/>
        </w:rPr>
        <w:t>. about 130nm, or about 150nm.</w:t>
      </w:r>
      <w:r w:rsidRPr="00E12672">
        <w:rPr>
          <w:rFonts w:ascii="Times New Roman" w:hAnsi="Times New Roman"/>
          <w:sz w:val="24"/>
          <w:szCs w:val="24"/>
        </w:rPr>
        <w:t>”(see US ’796, internal page 4, para 0041)</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i/>
          <w:sz w:val="24"/>
          <w:szCs w:val="24"/>
        </w:rPr>
      </w:pPr>
      <w:r w:rsidRPr="00E12672">
        <w:rPr>
          <w:rFonts w:ascii="Times New Roman" w:hAnsi="Times New Roman"/>
          <w:sz w:val="24"/>
          <w:szCs w:val="24"/>
        </w:rPr>
        <w:t>Claim 6 of US ’796 claims “</w:t>
      </w:r>
      <w:r w:rsidRPr="00E12672">
        <w:rPr>
          <w:rFonts w:ascii="Times New Roman" w:hAnsi="Times New Roman"/>
          <w:i/>
          <w:sz w:val="24"/>
          <w:szCs w:val="24"/>
        </w:rPr>
        <w:t xml:space="preserve">A micro- or nanoparticle pharmaceutical composition for administration by </w:t>
      </w:r>
      <w:r w:rsidRPr="00E12672">
        <w:rPr>
          <w:rFonts w:ascii="Times New Roman" w:hAnsi="Times New Roman"/>
          <w:i/>
          <w:sz w:val="24"/>
          <w:szCs w:val="24"/>
          <w:u w:val="single"/>
        </w:rPr>
        <w:t xml:space="preserve">intramuscular or subcutaneous injection </w:t>
      </w:r>
      <w:r w:rsidRPr="00E12672">
        <w:rPr>
          <w:rFonts w:ascii="Times New Roman" w:hAnsi="Times New Roman"/>
          <w:i/>
          <w:sz w:val="24"/>
          <w:szCs w:val="24"/>
        </w:rPr>
        <w:t>, comprising a therapeutically effective amount of polymorph I of TMC278, comprising polymorph I of TMC278, in micro or nanoparticle form, having a surface modifier adsorbed to the surface thereof, suspended in a pharmaceutically acceptable aqueous carrier</w:t>
      </w:r>
      <w:r w:rsidRPr="00E12672">
        <w:rPr>
          <w:rFonts w:ascii="Times New Roman" w:hAnsi="Times New Roman"/>
          <w:sz w:val="24"/>
          <w:szCs w:val="24"/>
        </w:rPr>
        <w:t>”. (emphasis supplied, see US ’796, internal page 10)</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i/>
          <w:sz w:val="24"/>
          <w:szCs w:val="24"/>
        </w:rPr>
      </w:pPr>
      <w:r w:rsidRPr="00E12672">
        <w:rPr>
          <w:rFonts w:ascii="Times New Roman" w:hAnsi="Times New Roman"/>
          <w:sz w:val="24"/>
          <w:szCs w:val="24"/>
        </w:rPr>
        <w:t xml:space="preserve">Hence, a POSITA on reading US ’796 would be informed that certain anti-HIV agents showing shows activity against HIV strains that have acquired resistance to one or more non-nucleoside reverse transcriptase inhibitors, may be used as long acting treatment options. The POSITA would also be taught that such anti-HIV agents may be in the form of injectable suspensions wherein it comprises micro- or nanoparticle composition.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i/>
          <w:sz w:val="24"/>
          <w:szCs w:val="24"/>
        </w:rPr>
      </w:pPr>
      <w:r w:rsidRPr="00E12672">
        <w:rPr>
          <w:rFonts w:ascii="Times New Roman" w:hAnsi="Times New Roman"/>
          <w:sz w:val="24"/>
          <w:szCs w:val="24"/>
        </w:rPr>
        <w:t>Hence, on reading US’796, a POSITA would be taught that:</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Anti-HIV compositions could be administered by intramuscular or subcutaneous injection, wherein an anti- HIV effective amount of a micro or nanoparticle composition is used;</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Particle size of the invention disclosed may vary below about 10 µm to 500 nm, including below 200 nm;</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i/>
          <w:sz w:val="24"/>
          <w:szCs w:val="24"/>
        </w:rPr>
      </w:pPr>
      <w:r w:rsidRPr="00E12672">
        <w:rPr>
          <w:rFonts w:ascii="Times New Roman" w:hAnsi="Times New Roman"/>
          <w:sz w:val="24"/>
          <w:szCs w:val="24"/>
        </w:rPr>
        <w:t>Such an anti-HIV therapy can help avoids high pill burden by being administered at long-time intervals such as one to two months, or two to three months, or three to four months, or three to six months, or six to 12 months, or 12 to 24 months.</w:t>
      </w:r>
    </w:p>
    <w:p w:rsidR="002823CB" w:rsidRPr="00724FAC" w:rsidRDefault="002823CB" w:rsidP="002823CB">
      <w:pPr>
        <w:pStyle w:val="ListParagraph"/>
        <w:numPr>
          <w:ilvl w:val="0"/>
          <w:numId w:val="4"/>
        </w:numPr>
        <w:spacing w:before="240" w:line="360" w:lineRule="auto"/>
        <w:ind w:left="567" w:right="96" w:hanging="567"/>
        <w:jc w:val="both"/>
        <w:rPr>
          <w:rFonts w:ascii="Times New Roman" w:hAnsi="Times New Roman"/>
          <w:caps/>
          <w:sz w:val="24"/>
          <w:szCs w:val="24"/>
        </w:rPr>
      </w:pPr>
      <w:r>
        <w:rPr>
          <w:rFonts w:ascii="Times New Roman" w:hAnsi="Times New Roman"/>
          <w:sz w:val="24"/>
          <w:szCs w:val="24"/>
        </w:rPr>
        <w:lastRenderedPageBreak/>
        <w:t xml:space="preserve">Further, a POSITA is competent to optimize the particle size of the components of a similar composition especially when the </w:t>
      </w:r>
      <w:proofErr w:type="gramStart"/>
      <w:r>
        <w:rPr>
          <w:rFonts w:ascii="Times New Roman" w:hAnsi="Times New Roman"/>
          <w:sz w:val="24"/>
          <w:szCs w:val="24"/>
        </w:rPr>
        <w:t>result of such optimization are</w:t>
      </w:r>
      <w:proofErr w:type="gramEnd"/>
      <w:r>
        <w:rPr>
          <w:rFonts w:ascii="Times New Roman" w:hAnsi="Times New Roman"/>
          <w:sz w:val="24"/>
          <w:szCs w:val="24"/>
        </w:rPr>
        <w:t xml:space="preserve"> clearly known in the state of the art.</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Hence, on reading US’796 with  WO ’764, US’519, US’386, WO’665, Tewodros </w:t>
      </w:r>
      <w:r w:rsidRPr="00E12672">
        <w:rPr>
          <w:rFonts w:ascii="Times New Roman" w:hAnsi="Times New Roman"/>
          <w:i/>
          <w:sz w:val="24"/>
          <w:szCs w:val="24"/>
        </w:rPr>
        <w:t>et al,</w:t>
      </w:r>
      <w:r w:rsidRPr="00E12672">
        <w:rPr>
          <w:rFonts w:ascii="Times New Roman" w:hAnsi="Times New Roman"/>
          <w:sz w:val="24"/>
          <w:szCs w:val="24"/>
        </w:rPr>
        <w:t xml:space="preserve"> WO’882 and Baert </w:t>
      </w:r>
      <w:r w:rsidRPr="00E12672">
        <w:rPr>
          <w:rFonts w:ascii="Times New Roman" w:hAnsi="Times New Roman"/>
          <w:i/>
          <w:sz w:val="24"/>
          <w:szCs w:val="24"/>
        </w:rPr>
        <w:t>et al</w:t>
      </w:r>
      <w:r w:rsidRPr="00E12672">
        <w:rPr>
          <w:rFonts w:ascii="Times New Roman" w:hAnsi="Times New Roman"/>
          <w:sz w:val="24"/>
          <w:szCs w:val="24"/>
        </w:rPr>
        <w:t>, a POSITA working on a composition comprising polycyclic carbamoylpyridone derivatives 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taught that such an anti-HIV composition may also be administered parenterally and can be in sterilized form. The POSITA would also be informed of the preferable particle size of such a composition may be 400nm, 250nm or 100nm. Further, the POSITA would be motivated to examine effects of such composition at an interval of one month, two months, three months, six months, twelve months or twenty four months.</w:t>
      </w:r>
    </w:p>
    <w:p w:rsidR="002823CB" w:rsidRPr="00E12672" w:rsidRDefault="002823CB" w:rsidP="002823CB">
      <w:pPr>
        <w:spacing w:before="240" w:line="360" w:lineRule="auto"/>
        <w:ind w:left="851" w:right="720" w:hanging="851"/>
        <w:jc w:val="both"/>
        <w:rPr>
          <w:rFonts w:ascii="Times New Roman" w:hAnsi="Times New Roman"/>
          <w:b/>
          <w:sz w:val="24"/>
          <w:szCs w:val="24"/>
          <w:u w:val="single"/>
        </w:rPr>
      </w:pPr>
      <w:r w:rsidRPr="00D645FB">
        <w:rPr>
          <w:rFonts w:ascii="Times New Roman" w:hAnsi="Times New Roman"/>
          <w:b/>
          <w:sz w:val="24"/>
          <w:szCs w:val="24"/>
        </w:rPr>
        <w:t>VII.</w:t>
      </w:r>
      <w:r>
        <w:rPr>
          <w:rFonts w:ascii="Times New Roman" w:hAnsi="Times New Roman"/>
          <w:b/>
          <w:sz w:val="24"/>
          <w:szCs w:val="24"/>
        </w:rPr>
        <w:t>1</w:t>
      </w:r>
      <w:r w:rsidRPr="00D645FB">
        <w:rPr>
          <w:rFonts w:ascii="Times New Roman" w:hAnsi="Times New Roman"/>
          <w:b/>
          <w:sz w:val="24"/>
          <w:szCs w:val="24"/>
        </w:rPr>
        <w:t>.d</w:t>
      </w:r>
      <w:r w:rsidRPr="00D428DA">
        <w:rPr>
          <w:rFonts w:ascii="Times New Roman" w:hAnsi="Times New Roman"/>
          <w:b/>
          <w:sz w:val="24"/>
          <w:szCs w:val="24"/>
        </w:rPr>
        <w:t xml:space="preserve"> </w:t>
      </w:r>
      <w:r w:rsidRPr="00E12672">
        <w:rPr>
          <w:rFonts w:ascii="Times New Roman" w:hAnsi="Times New Roman"/>
          <w:b/>
          <w:sz w:val="24"/>
          <w:szCs w:val="24"/>
          <w:u w:val="single"/>
        </w:rPr>
        <w:t>Sterilization of compound containing carbamoyl group and other anti- HIV agents by exposure to gamma radiation was known</w:t>
      </w:r>
    </w:p>
    <w:p w:rsidR="002823CB" w:rsidRPr="00E12672" w:rsidRDefault="002823CB" w:rsidP="002823CB">
      <w:pPr>
        <w:spacing w:before="240" w:line="360" w:lineRule="auto"/>
        <w:ind w:right="720"/>
        <w:jc w:val="both"/>
        <w:rPr>
          <w:rFonts w:ascii="Times New Roman" w:hAnsi="Times New Roman"/>
          <w:b/>
          <w:caps/>
          <w:sz w:val="24"/>
          <w:szCs w:val="24"/>
        </w:rPr>
      </w:pPr>
      <w:r w:rsidRPr="00E12672">
        <w:rPr>
          <w:rFonts w:ascii="Times New Roman" w:hAnsi="Times New Roman"/>
          <w:b/>
          <w:caps/>
          <w:sz w:val="24"/>
          <w:szCs w:val="24"/>
        </w:rPr>
        <w:t xml:space="preserve">US 3,045,017 </w:t>
      </w:r>
      <w:r w:rsidRPr="00E12672">
        <w:rPr>
          <w:rFonts w:ascii="Times New Roman" w:hAnsi="Times New Roman"/>
          <w:sz w:val="24"/>
          <w:szCs w:val="24"/>
        </w:rPr>
        <w:t>(Published: 17.07.1962)</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 xml:space="preserve">The Opponent relies on patent application publication no. US 3,045,017 (hereinafter “US ’017” and annexed hereto as </w:t>
      </w:r>
      <w:r w:rsidRPr="00E12672">
        <w:rPr>
          <w:rFonts w:ascii="Times New Roman" w:hAnsi="Times New Roman"/>
          <w:b/>
          <w:sz w:val="24"/>
          <w:szCs w:val="24"/>
        </w:rPr>
        <w:t>Exhibit</w:t>
      </w:r>
      <w:r>
        <w:rPr>
          <w:rFonts w:ascii="Times New Roman" w:hAnsi="Times New Roman"/>
          <w:b/>
          <w:sz w:val="24"/>
          <w:szCs w:val="24"/>
        </w:rPr>
        <w:t xml:space="preserve"> I</w:t>
      </w:r>
      <w:r w:rsidRPr="00E518EC">
        <w:rPr>
          <w:rFonts w:ascii="Times New Roman" w:hAnsi="Times New Roman"/>
          <w:sz w:val="24"/>
          <w:szCs w:val="24"/>
        </w:rPr>
        <w:t>)</w:t>
      </w:r>
      <w:r w:rsidRPr="00E12672">
        <w:rPr>
          <w:rFonts w:ascii="Times New Roman" w:hAnsi="Times New Roman"/>
          <w:sz w:val="24"/>
          <w:szCs w:val="24"/>
        </w:rPr>
        <w:t xml:space="preserve"> titled, “</w:t>
      </w:r>
      <w:r w:rsidRPr="00E12672">
        <w:rPr>
          <w:rFonts w:ascii="Times New Roman" w:hAnsi="Times New Roman"/>
          <w:i/>
          <w:sz w:val="24"/>
          <w:szCs w:val="24"/>
        </w:rPr>
        <w:t xml:space="preserve">Iminodibenzyl Derivatives” </w:t>
      </w:r>
      <w:r w:rsidRPr="00E12672">
        <w:rPr>
          <w:rFonts w:ascii="Times New Roman" w:hAnsi="Times New Roman"/>
          <w:sz w:val="24"/>
          <w:szCs w:val="24"/>
        </w:rPr>
        <w:t xml:space="preserve">published on 17.07.1962. Given that this document has been published before the date of priority of the present patent, viz. 16.09.2010, this publication can be relied on as prior art for the present patent.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lastRenderedPageBreak/>
        <w:t xml:space="preserve">US’017 teaches pharmaceutical composition that comprises a heterocyclic polycyclic active compounds that may have carbamoyl group (See US ’017 at column 10, Claim 1, lines 49-50)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US ’017 discloses, “</w:t>
      </w:r>
      <w:r w:rsidRPr="00E12672">
        <w:rPr>
          <w:rFonts w:ascii="Times New Roman" w:hAnsi="Times New Roman"/>
          <w:i/>
          <w:sz w:val="24"/>
          <w:szCs w:val="24"/>
        </w:rPr>
        <w:t xml:space="preserve">Preparation according to the invention for parenteral administration include sterile aqueous or non- aqueous solutions, suspensions, or emulsions. Examples of non- aqueous solvents or suspending media are propylene glycol, </w:t>
      </w:r>
      <w:r w:rsidRPr="00E12672">
        <w:rPr>
          <w:rFonts w:ascii="Times New Roman" w:hAnsi="Times New Roman"/>
          <w:i/>
          <w:sz w:val="24"/>
          <w:szCs w:val="24"/>
          <w:u w:val="single"/>
        </w:rPr>
        <w:t>polyethylene glycol</w:t>
      </w:r>
      <w:r w:rsidRPr="00E12672">
        <w:rPr>
          <w:rFonts w:ascii="Times New Roman" w:hAnsi="Times New Roman"/>
          <w:i/>
          <w:sz w:val="24"/>
          <w:szCs w:val="24"/>
        </w:rPr>
        <w:t xml:space="preserve">, vegetable oils such as olive oil, and injectable organic esters such as ethyl oleate. These compositions may also contain adjuvants such as wetting, emulsifying and dispersing agents. They may be sterilised by, for example, filtration through a bacteria- retaining filter, by incorporation in the compositions of sterilising agents, </w:t>
      </w:r>
      <w:r w:rsidRPr="00E12672">
        <w:rPr>
          <w:rFonts w:ascii="Times New Roman" w:hAnsi="Times New Roman"/>
          <w:i/>
          <w:sz w:val="24"/>
          <w:szCs w:val="24"/>
          <w:u w:val="single"/>
        </w:rPr>
        <w:t>by irradiation</w:t>
      </w:r>
      <w:r w:rsidRPr="00E12672">
        <w:rPr>
          <w:rFonts w:ascii="Times New Roman" w:hAnsi="Times New Roman"/>
          <w:i/>
          <w:sz w:val="24"/>
          <w:szCs w:val="24"/>
        </w:rPr>
        <w:t xml:space="preserve">, or by heating. </w:t>
      </w:r>
      <w:r w:rsidRPr="00E12672">
        <w:rPr>
          <w:rFonts w:ascii="Times New Roman" w:hAnsi="Times New Roman"/>
          <w:sz w:val="24"/>
          <w:szCs w:val="24"/>
        </w:rPr>
        <w:t>(emphasis supplied, see US ’017 at column 9, line 50-60)</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 xml:space="preserve">Therefore, US ’017 </w:t>
      </w:r>
      <w:proofErr w:type="gramStart"/>
      <w:r w:rsidRPr="00E12672">
        <w:rPr>
          <w:rFonts w:ascii="Times New Roman" w:hAnsi="Times New Roman"/>
          <w:sz w:val="24"/>
          <w:szCs w:val="24"/>
        </w:rPr>
        <w:t>discloses</w:t>
      </w:r>
      <w:proofErr w:type="gramEnd"/>
      <w:r w:rsidRPr="00E12672">
        <w:rPr>
          <w:rFonts w:ascii="Times New Roman" w:hAnsi="Times New Roman"/>
          <w:sz w:val="24"/>
          <w:szCs w:val="24"/>
        </w:rPr>
        <w:t xml:space="preserve"> a compound with carbamoyl group along with surfactants including polyethylene glycol which is sterilized by irradiation, or by heating. </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Hence, on reading US’017 with  WO ’764, US’519, US’386, WO’665, Tewodros </w:t>
      </w:r>
      <w:r w:rsidRPr="00E12672">
        <w:rPr>
          <w:rFonts w:ascii="Times New Roman" w:hAnsi="Times New Roman"/>
          <w:i/>
          <w:sz w:val="24"/>
          <w:szCs w:val="24"/>
        </w:rPr>
        <w:t>et al,</w:t>
      </w:r>
      <w:r w:rsidRPr="00E12672">
        <w:rPr>
          <w:rFonts w:ascii="Times New Roman" w:hAnsi="Times New Roman"/>
          <w:sz w:val="24"/>
          <w:szCs w:val="24"/>
        </w:rPr>
        <w:t xml:space="preserve"> WO’882, Baert </w:t>
      </w:r>
      <w:r w:rsidRPr="00E12672">
        <w:rPr>
          <w:rFonts w:ascii="Times New Roman" w:hAnsi="Times New Roman"/>
          <w:i/>
          <w:sz w:val="24"/>
          <w:szCs w:val="24"/>
        </w:rPr>
        <w:t xml:space="preserve">et al </w:t>
      </w:r>
      <w:r w:rsidRPr="00E12672">
        <w:rPr>
          <w:rFonts w:ascii="Times New Roman" w:hAnsi="Times New Roman"/>
          <w:sz w:val="24"/>
          <w:szCs w:val="24"/>
        </w:rPr>
        <w:t xml:space="preserve">and US’796, a POSITA working on a composition comprising polycyclic carbamoylpyridone derivatives 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taught that such an anti-HIV composition may also be administered parenterally and can be in sterilized form. The POSITA would also be informed of the preferable particle size of such a composition may be 400nm, 250nm or 100nm. The POSITA would also be motivated to sterilize such a composition by irradiation. Further, the POSITA would be motivated to examine effects of such </w:t>
      </w:r>
      <w:r w:rsidRPr="00E12672">
        <w:rPr>
          <w:rFonts w:ascii="Times New Roman" w:hAnsi="Times New Roman"/>
          <w:sz w:val="24"/>
          <w:szCs w:val="24"/>
        </w:rPr>
        <w:lastRenderedPageBreak/>
        <w:t xml:space="preserve">composition at an interval of one month, two months, three months, six months, twelve months or twenty four months. </w:t>
      </w:r>
    </w:p>
    <w:p w:rsidR="002823CB" w:rsidRPr="00E12672" w:rsidRDefault="002823CB" w:rsidP="002823CB">
      <w:pPr>
        <w:spacing w:before="240" w:line="360" w:lineRule="auto"/>
        <w:ind w:right="720"/>
        <w:jc w:val="both"/>
        <w:rPr>
          <w:rFonts w:ascii="Times New Roman" w:hAnsi="Times New Roman"/>
          <w:b/>
          <w:sz w:val="24"/>
          <w:szCs w:val="24"/>
        </w:rPr>
      </w:pPr>
      <w:r w:rsidRPr="00E12672">
        <w:rPr>
          <w:rFonts w:ascii="Times New Roman" w:hAnsi="Times New Roman"/>
          <w:b/>
          <w:sz w:val="24"/>
          <w:szCs w:val="24"/>
        </w:rPr>
        <w:t xml:space="preserve">US 2005/0113386 A1 </w:t>
      </w:r>
      <w:r w:rsidRPr="00E12672">
        <w:rPr>
          <w:rFonts w:ascii="Times New Roman" w:hAnsi="Times New Roman"/>
          <w:sz w:val="24"/>
          <w:szCs w:val="24"/>
        </w:rPr>
        <w:t>(Published: 26.05.2005)</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 xml:space="preserve">The Opponent again relies on US ’386 annexed as </w:t>
      </w:r>
      <w:r>
        <w:rPr>
          <w:rFonts w:ascii="Times New Roman" w:hAnsi="Times New Roman"/>
          <w:b/>
          <w:sz w:val="24"/>
          <w:szCs w:val="24"/>
        </w:rPr>
        <w:t>Exhibit C</w:t>
      </w:r>
      <w:r w:rsidRPr="00E12672">
        <w:rPr>
          <w:rFonts w:ascii="Times New Roman" w:hAnsi="Times New Roman"/>
          <w:b/>
          <w:sz w:val="24"/>
          <w:szCs w:val="24"/>
        </w:rPr>
        <w:t>.</w:t>
      </w:r>
      <w:r w:rsidRPr="00E12672">
        <w:rPr>
          <w:rFonts w:ascii="Times New Roman" w:hAnsi="Times New Roman"/>
          <w:sz w:val="24"/>
          <w:szCs w:val="24"/>
        </w:rPr>
        <w:t xml:space="preserve">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 xml:space="preserve">US ’386 relates to pharmaceutical compositions of polycyclic heterocyclic compounds that may have a carbamoyl group (See US ’386, abstract)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US ’386</w:t>
      </w:r>
      <w:r w:rsidRPr="00E12672">
        <w:rPr>
          <w:rFonts w:ascii="Times New Roman" w:hAnsi="Times New Roman"/>
          <w:i/>
          <w:sz w:val="24"/>
          <w:szCs w:val="24"/>
        </w:rPr>
        <w:t xml:space="preserve"> </w:t>
      </w:r>
      <w:r w:rsidRPr="00E12672">
        <w:rPr>
          <w:rFonts w:ascii="Times New Roman" w:hAnsi="Times New Roman"/>
          <w:sz w:val="24"/>
          <w:szCs w:val="24"/>
        </w:rPr>
        <w:t xml:space="preserve">describe about a composition containing a compound having carbamoyl group along with other compounds. This composition is sterilized by irradiation. It discloses an example wherein </w:t>
      </w:r>
      <w:r w:rsidRPr="00E12672">
        <w:rPr>
          <w:rFonts w:ascii="Times New Roman" w:hAnsi="Times New Roman"/>
          <w:i/>
          <w:sz w:val="24"/>
          <w:szCs w:val="24"/>
        </w:rPr>
        <w:t xml:space="preserve">“A solution is prepared from 1 g of 1-[4-(5-cyanoindol-3-yl)butyl]-4-(2-carbamoyl-benzofuran-5-yl)-piperazine or a physiologically acceptable salt thereof, 9.38 g of Na2HPO4.12H2O and 0.1g of benzalkonium chloride in 940ml of twice- distilled water. The pH is brought to 6.8, and the solution is made up to 1l and </w:t>
      </w:r>
      <w:r w:rsidRPr="00E12672">
        <w:rPr>
          <w:rFonts w:ascii="Times New Roman" w:hAnsi="Times New Roman"/>
          <w:i/>
          <w:sz w:val="24"/>
          <w:szCs w:val="24"/>
          <w:u w:val="single"/>
        </w:rPr>
        <w:t>sterilized by irradiation</w:t>
      </w:r>
      <w:r w:rsidRPr="00E12672">
        <w:rPr>
          <w:rFonts w:ascii="Times New Roman" w:hAnsi="Times New Roman"/>
          <w:i/>
          <w:sz w:val="24"/>
          <w:szCs w:val="24"/>
        </w:rPr>
        <w:t xml:space="preserve">.” </w:t>
      </w:r>
      <w:r w:rsidRPr="00E12672">
        <w:rPr>
          <w:rFonts w:ascii="Times New Roman" w:hAnsi="Times New Roman"/>
          <w:sz w:val="24"/>
          <w:szCs w:val="24"/>
        </w:rPr>
        <w:t>(emphasis supplied, see US ’386 at internal page 9, para [0124])</w:t>
      </w:r>
    </w:p>
    <w:p w:rsidR="002823CB" w:rsidRPr="00E12672" w:rsidRDefault="002823CB" w:rsidP="002823CB">
      <w:pPr>
        <w:pStyle w:val="ListParagraph"/>
        <w:numPr>
          <w:ilvl w:val="0"/>
          <w:numId w:val="4"/>
        </w:numPr>
        <w:spacing w:before="240" w:line="360" w:lineRule="auto"/>
        <w:ind w:left="567" w:right="96" w:hanging="567"/>
        <w:jc w:val="both"/>
        <w:rPr>
          <w:rFonts w:ascii="Times New Roman" w:hAnsi="Times New Roman"/>
          <w:b/>
          <w:caps/>
          <w:sz w:val="24"/>
          <w:szCs w:val="24"/>
        </w:rPr>
      </w:pPr>
      <w:r w:rsidRPr="00E12672">
        <w:rPr>
          <w:rFonts w:ascii="Times New Roman" w:hAnsi="Times New Roman"/>
          <w:sz w:val="24"/>
          <w:szCs w:val="24"/>
        </w:rPr>
        <w:t xml:space="preserve">Hence, on reading this document with  WO ’764, US’386, WO’665, Tewodros </w:t>
      </w:r>
      <w:r w:rsidRPr="00E12672">
        <w:rPr>
          <w:rFonts w:ascii="Times New Roman" w:hAnsi="Times New Roman"/>
          <w:i/>
          <w:sz w:val="24"/>
          <w:szCs w:val="24"/>
        </w:rPr>
        <w:t>et al,</w:t>
      </w:r>
      <w:r w:rsidRPr="00E12672">
        <w:rPr>
          <w:rFonts w:ascii="Times New Roman" w:hAnsi="Times New Roman"/>
          <w:sz w:val="24"/>
          <w:szCs w:val="24"/>
        </w:rPr>
        <w:t xml:space="preserve"> WO’882, Baert </w:t>
      </w:r>
      <w:r w:rsidRPr="00E12672">
        <w:rPr>
          <w:rFonts w:ascii="Times New Roman" w:hAnsi="Times New Roman"/>
          <w:i/>
          <w:sz w:val="24"/>
          <w:szCs w:val="24"/>
        </w:rPr>
        <w:t xml:space="preserve">et al, </w:t>
      </w:r>
      <w:r w:rsidRPr="00E12672">
        <w:rPr>
          <w:rFonts w:ascii="Times New Roman" w:hAnsi="Times New Roman"/>
          <w:sz w:val="24"/>
          <w:szCs w:val="24"/>
        </w:rPr>
        <w:t xml:space="preserve">US’796 and US’017, a POSITA working on a composition comprising polycyclic carbamoylpyridone derivatives 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taught that such an anti-HIV composition may also be administered parenterally and can be in sterilized form. The POSITA would also be informed of the preferable particle size of such a composition may be 400nm, 250nm or 100nm. The POSITA would also be motivated to sterilize such a composition by irradiation. Further, the POSITA would be motivated to examine effects of such </w:t>
      </w:r>
      <w:r w:rsidRPr="00E12672">
        <w:rPr>
          <w:rFonts w:ascii="Times New Roman" w:hAnsi="Times New Roman"/>
          <w:sz w:val="24"/>
          <w:szCs w:val="24"/>
        </w:rPr>
        <w:lastRenderedPageBreak/>
        <w:t xml:space="preserve">composition at an interval of one month, two months, three months, six months, twelve months or twenty four months. </w:t>
      </w:r>
    </w:p>
    <w:p w:rsidR="002823CB" w:rsidRPr="00E12672" w:rsidRDefault="002823CB" w:rsidP="002823CB">
      <w:pPr>
        <w:spacing w:before="240" w:line="360" w:lineRule="auto"/>
        <w:ind w:right="96"/>
        <w:jc w:val="both"/>
        <w:rPr>
          <w:rFonts w:ascii="Times New Roman" w:hAnsi="Times New Roman"/>
          <w:sz w:val="24"/>
          <w:szCs w:val="24"/>
        </w:rPr>
      </w:pPr>
      <w:r w:rsidRPr="00E12672">
        <w:rPr>
          <w:rFonts w:ascii="Times New Roman" w:hAnsi="Times New Roman"/>
          <w:b/>
          <w:caps/>
          <w:sz w:val="24"/>
          <w:szCs w:val="24"/>
        </w:rPr>
        <w:t xml:space="preserve">WO 2005/072706 A2 </w:t>
      </w:r>
      <w:r w:rsidRPr="00E12672">
        <w:rPr>
          <w:rFonts w:ascii="Times New Roman" w:hAnsi="Times New Roman"/>
          <w:caps/>
          <w:sz w:val="24"/>
          <w:szCs w:val="24"/>
        </w:rPr>
        <w:t>(</w:t>
      </w:r>
      <w:r w:rsidRPr="00E12672">
        <w:rPr>
          <w:rFonts w:ascii="Times New Roman" w:hAnsi="Times New Roman"/>
          <w:sz w:val="24"/>
          <w:szCs w:val="24"/>
        </w:rPr>
        <w:t>Published: 11.08.2005)</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 xml:space="preserve">The Opponent relies on patent application publication no. WO 2005/072706 A2 (hereinafter “WO ’706” and annexed hereto as </w:t>
      </w:r>
      <w:r>
        <w:rPr>
          <w:rFonts w:ascii="Times New Roman" w:hAnsi="Times New Roman"/>
          <w:b/>
          <w:sz w:val="24"/>
          <w:szCs w:val="24"/>
        </w:rPr>
        <w:t>Exhibit J</w:t>
      </w:r>
      <w:r w:rsidRPr="00E12672">
        <w:rPr>
          <w:rFonts w:ascii="Times New Roman" w:hAnsi="Times New Roman"/>
          <w:b/>
          <w:sz w:val="24"/>
          <w:szCs w:val="24"/>
        </w:rPr>
        <w:t>)</w:t>
      </w:r>
      <w:r w:rsidRPr="00E12672">
        <w:rPr>
          <w:rFonts w:ascii="Times New Roman" w:hAnsi="Times New Roman"/>
          <w:sz w:val="24"/>
          <w:szCs w:val="24"/>
        </w:rPr>
        <w:t xml:space="preserve"> titled, “</w:t>
      </w:r>
      <w:r w:rsidRPr="00E12672">
        <w:rPr>
          <w:rFonts w:ascii="Times New Roman" w:hAnsi="Times New Roman"/>
          <w:i/>
          <w:sz w:val="24"/>
          <w:szCs w:val="24"/>
        </w:rPr>
        <w:t xml:space="preserve">Nanosuspensions of anti-retroviral agents for increased central nervous system delivery” </w:t>
      </w:r>
      <w:r w:rsidRPr="00E12672">
        <w:rPr>
          <w:rFonts w:ascii="Times New Roman" w:hAnsi="Times New Roman"/>
          <w:sz w:val="24"/>
          <w:szCs w:val="24"/>
        </w:rPr>
        <w:t xml:space="preserve">published on 11.08.2005. Given that this document has been published before the date of priority of the present patent, viz. 16.09.2010, this publication can be relied on as prior art for the present patent. </w:t>
      </w:r>
    </w:p>
    <w:p w:rsidR="002823CB" w:rsidRPr="00A6234E"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WO’706 discloses a composition comprising dispersions of anti-retroviral agents and methods of manufacture. (see WO’706, abstract) It further discloses that the composition disclosed therein can be sterilized, “</w:t>
      </w:r>
      <w:r w:rsidRPr="00E12672">
        <w:rPr>
          <w:rFonts w:ascii="Times New Roman" w:hAnsi="Times New Roman"/>
          <w:i/>
          <w:sz w:val="24"/>
          <w:szCs w:val="24"/>
        </w:rPr>
        <w:t>by any medical sterilization process including heat sterilization or sterilization by gamma irradiation.</w:t>
      </w:r>
      <w:r w:rsidRPr="00E12672">
        <w:rPr>
          <w:rFonts w:ascii="Times New Roman" w:hAnsi="Times New Roman"/>
          <w:sz w:val="24"/>
          <w:szCs w:val="24"/>
        </w:rPr>
        <w:t>” (see WO’706, internal page 4, para 5) Further, it is indicated that sterilization by gamma irradiation is well known in the art (see WO’706, internal page 20, para 5, lines 3-4).</w:t>
      </w:r>
      <w:r>
        <w:rPr>
          <w:rFonts w:ascii="Times New Roman" w:hAnsi="Times New Roman"/>
          <w:sz w:val="24"/>
          <w:szCs w:val="24"/>
        </w:rPr>
        <w:t xml:space="preserve">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Pr>
          <w:rFonts w:ascii="Times New Roman" w:hAnsi="Times New Roman"/>
          <w:sz w:val="24"/>
          <w:szCs w:val="24"/>
        </w:rPr>
        <w:t>In fact, one of preferred embodiments as claims a composition wherein sterilizing is performed by heat sterilization or gamma irradiation (see WO’706, internal page 35, claim 46)</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b/>
          <w:caps/>
          <w:sz w:val="24"/>
          <w:szCs w:val="24"/>
        </w:rPr>
      </w:pPr>
      <w:r w:rsidRPr="00E12672">
        <w:rPr>
          <w:rFonts w:ascii="Times New Roman" w:hAnsi="Times New Roman"/>
          <w:sz w:val="24"/>
          <w:szCs w:val="24"/>
        </w:rPr>
        <w:t xml:space="preserve">Hence, on reading WO’706 with  WO ’764, US’386, WO’665, Tewodros </w:t>
      </w:r>
      <w:r w:rsidRPr="00E12672">
        <w:rPr>
          <w:rFonts w:ascii="Times New Roman" w:hAnsi="Times New Roman"/>
          <w:i/>
          <w:sz w:val="24"/>
          <w:szCs w:val="24"/>
        </w:rPr>
        <w:t>et al,</w:t>
      </w:r>
      <w:r w:rsidRPr="00E12672">
        <w:rPr>
          <w:rFonts w:ascii="Times New Roman" w:hAnsi="Times New Roman"/>
          <w:sz w:val="24"/>
          <w:szCs w:val="24"/>
        </w:rPr>
        <w:t xml:space="preserve"> WO’882, Baert </w:t>
      </w:r>
      <w:r w:rsidRPr="00E12672">
        <w:rPr>
          <w:rFonts w:ascii="Times New Roman" w:hAnsi="Times New Roman"/>
          <w:i/>
          <w:sz w:val="24"/>
          <w:szCs w:val="24"/>
        </w:rPr>
        <w:t xml:space="preserve">et al, </w:t>
      </w:r>
      <w:r w:rsidRPr="00E12672">
        <w:rPr>
          <w:rFonts w:ascii="Times New Roman" w:hAnsi="Times New Roman"/>
          <w:sz w:val="24"/>
          <w:szCs w:val="24"/>
        </w:rPr>
        <w:t xml:space="preserve">US’796, US’386 and US’017, a POSITA working on a composition comprising polycyclic carbamoylpyridone derivatives including (3R, 11aS)-N-[(2,4-Oifluorophenyl)methyl]-6-hydroxy-3-methyl-5,7-dioxo-2,3,5,7, l1, 1la -hexahydro[1,3]oxazolo[3,2-a]pyrido[1,2-d]pyrazine-8-carboxamide (or its salt) as anti-HIV agent would be motivated to use known suspending and wetting agents such as polyethylene glycol and polysorbate for a formulation for parenteral administration. The POSITA would also be taught that such an anti-HIV composition may also be administered parenterally and can be in sterilized form. The POSITA </w:t>
      </w:r>
      <w:r w:rsidRPr="00E12672">
        <w:rPr>
          <w:rFonts w:ascii="Times New Roman" w:hAnsi="Times New Roman"/>
          <w:sz w:val="24"/>
          <w:szCs w:val="24"/>
        </w:rPr>
        <w:lastRenderedPageBreak/>
        <w:t xml:space="preserve">would also be informed of the preferable particle size of such a composition may be 400nm, 250nm or 100nm. The POSITA would also be motivated to sterilize such a composition by irradiation including gamma irradiation. Further, the POSITA would be motivated to examine effects of such composition at an interval of one month, two months, three months, six months, twelve months or twenty four months. </w:t>
      </w:r>
    </w:p>
    <w:p w:rsidR="002823CB" w:rsidRPr="00E12672" w:rsidRDefault="002823CB" w:rsidP="002823CB">
      <w:pPr>
        <w:spacing w:before="240" w:line="360" w:lineRule="auto"/>
        <w:ind w:right="720"/>
        <w:jc w:val="both"/>
        <w:rPr>
          <w:rFonts w:ascii="Times New Roman" w:hAnsi="Times New Roman"/>
          <w:b/>
          <w:i/>
          <w:sz w:val="24"/>
          <w:szCs w:val="24"/>
          <w:u w:val="single"/>
        </w:rPr>
      </w:pPr>
      <w:r w:rsidRPr="00E12672">
        <w:rPr>
          <w:rFonts w:ascii="Times New Roman" w:hAnsi="Times New Roman"/>
          <w:b/>
          <w:i/>
          <w:sz w:val="24"/>
          <w:szCs w:val="24"/>
          <w:u w:val="single"/>
        </w:rPr>
        <w:t>Summary</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 xml:space="preserve">Hence, a POSITA working on HIV formulation comprising (3R, 11aS)-N-[(2,4-Oifluorophenyl)methyl]-6-hydroxy-3-methyl-5,7-dioxo-2,3,5,7, l1, 1la -hexahydro[1,3]oxazolo[3,2-a]pyrido[1,2-d]pyrazine-8-carboxamide (or its salt) on reading the above mentioned prior art documents, would be motivated to develop the composition as claimed in the present patent as summed up below: </w:t>
      </w:r>
    </w:p>
    <w:p w:rsidR="002823CB" w:rsidRPr="00E12672" w:rsidRDefault="002823CB" w:rsidP="002823CB">
      <w:pPr>
        <w:pStyle w:val="ListParagraph"/>
        <w:numPr>
          <w:ilvl w:val="1"/>
          <w:numId w:val="4"/>
        </w:numPr>
        <w:spacing w:before="240" w:line="360" w:lineRule="auto"/>
        <w:ind w:left="1368"/>
        <w:jc w:val="both"/>
        <w:rPr>
          <w:rFonts w:ascii="Times New Roman" w:hAnsi="Times New Roman"/>
          <w:i/>
          <w:sz w:val="24"/>
          <w:szCs w:val="24"/>
        </w:rPr>
      </w:pPr>
      <w:r w:rsidRPr="00E12672">
        <w:rPr>
          <w:rFonts w:ascii="Times New Roman" w:hAnsi="Times New Roman"/>
          <w:sz w:val="24"/>
          <w:szCs w:val="24"/>
        </w:rPr>
        <w:t>An injectable form of anti-HIV composition comprising Cabotegravir viz. (3R, 11aS)-N-[(2,4-Oifluorophenyl)methyl]-6-hydroxy-3-methyl-5,7-dioxo-2,3,5,7, l1, 1la -hexahydro[1,3]oxazolo[3,2-a]pyrido[1,2-d]pyrazine-8-carboxamide with a surfactant system using polyethylene glycol, polysorbate20. [WO ’764 , US ’519, US ’386];</w:t>
      </w:r>
    </w:p>
    <w:p w:rsidR="002823CB" w:rsidRPr="00E12672" w:rsidRDefault="002823CB" w:rsidP="002823CB">
      <w:pPr>
        <w:pStyle w:val="ListParagraph"/>
        <w:numPr>
          <w:ilvl w:val="1"/>
          <w:numId w:val="4"/>
        </w:numPr>
        <w:spacing w:before="240" w:line="360" w:lineRule="auto"/>
        <w:ind w:left="1368"/>
        <w:jc w:val="both"/>
        <w:rPr>
          <w:rFonts w:ascii="Times New Roman" w:hAnsi="Times New Roman"/>
          <w:i/>
          <w:sz w:val="24"/>
          <w:szCs w:val="24"/>
        </w:rPr>
      </w:pPr>
      <w:r w:rsidRPr="00E12672">
        <w:rPr>
          <w:rFonts w:ascii="Times New Roman" w:hAnsi="Times New Roman"/>
          <w:sz w:val="24"/>
          <w:szCs w:val="24"/>
        </w:rPr>
        <w:t xml:space="preserve">Use of nanoparticles (of about less than 200nm or 500nm) in an anti-HIV composition [WO’665, Tewodros </w:t>
      </w:r>
      <w:r w:rsidRPr="00E12672">
        <w:rPr>
          <w:rFonts w:ascii="Times New Roman" w:hAnsi="Times New Roman"/>
          <w:i/>
          <w:sz w:val="24"/>
          <w:szCs w:val="24"/>
        </w:rPr>
        <w:t>et al</w:t>
      </w:r>
      <w:r w:rsidRPr="00E12672">
        <w:rPr>
          <w:rFonts w:ascii="Times New Roman" w:hAnsi="Times New Roman"/>
          <w:sz w:val="24"/>
          <w:szCs w:val="24"/>
        </w:rPr>
        <w:t>];</w:t>
      </w:r>
    </w:p>
    <w:p w:rsidR="002823CB" w:rsidRPr="00E12672" w:rsidRDefault="002823CB" w:rsidP="002823CB">
      <w:pPr>
        <w:pStyle w:val="ListParagraph"/>
        <w:numPr>
          <w:ilvl w:val="1"/>
          <w:numId w:val="4"/>
        </w:numPr>
        <w:spacing w:before="240" w:line="360" w:lineRule="auto"/>
        <w:ind w:left="1368"/>
        <w:jc w:val="both"/>
        <w:rPr>
          <w:rFonts w:ascii="Times New Roman" w:hAnsi="Times New Roman"/>
          <w:i/>
          <w:sz w:val="24"/>
          <w:szCs w:val="24"/>
        </w:rPr>
      </w:pPr>
      <w:r w:rsidRPr="00E12672">
        <w:rPr>
          <w:rFonts w:ascii="Times New Roman" w:hAnsi="Times New Roman"/>
          <w:sz w:val="24"/>
          <w:szCs w:val="24"/>
        </w:rPr>
        <w:t xml:space="preserve">Use of anti-HIV agents for long acting drugs such as at an interval of one, two, three, six, twelve and twenty four months, at particular doses [WO’882, US’796, Baert </w:t>
      </w:r>
      <w:r w:rsidRPr="00E12672">
        <w:rPr>
          <w:rFonts w:ascii="Times New Roman" w:hAnsi="Times New Roman"/>
          <w:i/>
          <w:sz w:val="24"/>
          <w:szCs w:val="24"/>
        </w:rPr>
        <w:t>et al</w:t>
      </w:r>
      <w:r w:rsidRPr="00E12672">
        <w:rPr>
          <w:rFonts w:ascii="Times New Roman" w:hAnsi="Times New Roman"/>
          <w:sz w:val="24"/>
          <w:szCs w:val="24"/>
        </w:rPr>
        <w:t>];</w:t>
      </w:r>
    </w:p>
    <w:p w:rsidR="002823CB" w:rsidRPr="00E12672" w:rsidRDefault="002823CB" w:rsidP="002823CB">
      <w:pPr>
        <w:pStyle w:val="ListParagraph"/>
        <w:numPr>
          <w:ilvl w:val="1"/>
          <w:numId w:val="4"/>
        </w:numPr>
        <w:spacing w:before="240" w:line="360" w:lineRule="auto"/>
        <w:ind w:left="1368"/>
        <w:jc w:val="both"/>
        <w:rPr>
          <w:rFonts w:ascii="Times New Roman" w:hAnsi="Times New Roman"/>
          <w:i/>
          <w:sz w:val="24"/>
          <w:szCs w:val="24"/>
        </w:rPr>
      </w:pPr>
      <w:r w:rsidRPr="00E12672">
        <w:rPr>
          <w:rFonts w:ascii="Times New Roman" w:hAnsi="Times New Roman"/>
          <w:sz w:val="24"/>
          <w:szCs w:val="24"/>
        </w:rPr>
        <w:t>Sterilization of anti-HIV agents by gamma irradiation [US’017, US’386, WO’706].</w:t>
      </w:r>
    </w:p>
    <w:p w:rsidR="002823CB"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Pr>
          <w:rFonts w:ascii="Times New Roman" w:hAnsi="Times New Roman"/>
          <w:sz w:val="24"/>
          <w:szCs w:val="24"/>
        </w:rPr>
        <w:t xml:space="preserve">From the above-discussed prior art documents it’s clear that there was reasonable expectation of success in using teachings of the documents to arrive at the composition of the present patent. These prior art documents </w:t>
      </w:r>
      <w:r>
        <w:rPr>
          <w:rFonts w:ascii="Times New Roman" w:hAnsi="Times New Roman"/>
          <w:sz w:val="24"/>
          <w:szCs w:val="24"/>
        </w:rPr>
        <w:lastRenderedPageBreak/>
        <w:t>motivate and are suggestive of the claimed composition in the present patent.</w:t>
      </w:r>
    </w:p>
    <w:p w:rsidR="002823CB"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Therefore, claim 1 of the present patent is obvious and lacks inventive step. Claim 1 and the dependent claims 2-11 of the present patent hence must be revoked for lack of inventive step.</w:t>
      </w:r>
    </w:p>
    <w:p w:rsidR="002823CB"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Pr>
          <w:rFonts w:ascii="Times New Roman" w:hAnsi="Times New Roman"/>
          <w:sz w:val="24"/>
          <w:szCs w:val="24"/>
        </w:rPr>
        <w:t>The disclosures in each of the prior art documents discussed above is produced below in tabular form for easy reference.</w:t>
      </w:r>
    </w:p>
    <w:p w:rsidR="002823CB" w:rsidRDefault="002823CB" w:rsidP="002823CB">
      <w:pPr>
        <w:spacing w:before="240" w:line="360" w:lineRule="auto"/>
        <w:jc w:val="both"/>
        <w:rPr>
          <w:rFonts w:ascii="Times New Roman" w:hAnsi="Times New Roman"/>
          <w:sz w:val="24"/>
          <w:szCs w:val="24"/>
        </w:rPr>
      </w:pPr>
    </w:p>
    <w:p w:rsidR="002823CB" w:rsidRPr="00D124DC" w:rsidRDefault="002823CB" w:rsidP="002823CB">
      <w:pPr>
        <w:spacing w:before="240" w:line="360" w:lineRule="auto"/>
        <w:jc w:val="both"/>
        <w:rPr>
          <w:rFonts w:ascii="Times New Roman" w:hAnsi="Times New Roman"/>
          <w:sz w:val="24"/>
          <w:szCs w:val="24"/>
        </w:rPr>
        <w:sectPr w:rsidR="002823CB" w:rsidRPr="00D124DC" w:rsidSect="00666533">
          <w:footerReference w:type="default" r:id="rId11"/>
          <w:pgSz w:w="11907" w:h="16839" w:code="9"/>
          <w:pgMar w:top="2268" w:right="1701" w:bottom="1701" w:left="2268" w:header="720" w:footer="720" w:gutter="0"/>
          <w:cols w:space="720"/>
          <w:docGrid w:linePitch="360"/>
        </w:sectPr>
      </w:pPr>
    </w:p>
    <w:tbl>
      <w:tblPr>
        <w:tblStyle w:val="TableGrid"/>
        <w:tblW w:w="14327" w:type="dxa"/>
        <w:tblInd w:w="-743" w:type="dxa"/>
        <w:tblLayout w:type="fixed"/>
        <w:tblLook w:val="04A0" w:firstRow="1" w:lastRow="0" w:firstColumn="1" w:lastColumn="0" w:noHBand="0" w:noVBand="1"/>
      </w:tblPr>
      <w:tblGrid>
        <w:gridCol w:w="1847"/>
        <w:gridCol w:w="1556"/>
        <w:gridCol w:w="1356"/>
        <w:gridCol w:w="1337"/>
        <w:gridCol w:w="1418"/>
        <w:gridCol w:w="1984"/>
        <w:gridCol w:w="1559"/>
        <w:gridCol w:w="1843"/>
        <w:gridCol w:w="1427"/>
      </w:tblGrid>
      <w:tr w:rsidR="002823CB" w:rsidRPr="00B2659A" w:rsidTr="002720A3">
        <w:trPr>
          <w:trHeight w:val="593"/>
        </w:trPr>
        <w:tc>
          <w:tcPr>
            <w:tcW w:w="1847" w:type="dxa"/>
            <w:shd w:val="clear" w:color="auto" w:fill="D9D9D9" w:themeFill="background1" w:themeFillShade="D9"/>
          </w:tcPr>
          <w:p w:rsidR="002823CB" w:rsidRPr="00B2659A" w:rsidRDefault="002823CB" w:rsidP="002720A3">
            <w:pPr>
              <w:jc w:val="center"/>
              <w:rPr>
                <w:rFonts w:ascii="Times New Roman" w:hAnsi="Times New Roman"/>
                <w:b/>
              </w:rPr>
            </w:pPr>
            <w:r w:rsidRPr="00B2659A">
              <w:rPr>
                <w:rFonts w:ascii="Times New Roman" w:hAnsi="Times New Roman"/>
                <w:b/>
              </w:rPr>
              <w:lastRenderedPageBreak/>
              <w:t>Prior Art</w:t>
            </w:r>
          </w:p>
        </w:tc>
        <w:tc>
          <w:tcPr>
            <w:tcW w:w="1556" w:type="dxa"/>
            <w:shd w:val="clear" w:color="auto" w:fill="D9D9D9" w:themeFill="background1" w:themeFillShade="D9"/>
          </w:tcPr>
          <w:p w:rsidR="002823CB" w:rsidRPr="00B2659A" w:rsidRDefault="002823CB" w:rsidP="002720A3">
            <w:pPr>
              <w:jc w:val="center"/>
              <w:rPr>
                <w:rFonts w:ascii="Times New Roman" w:hAnsi="Times New Roman"/>
                <w:b/>
              </w:rPr>
            </w:pPr>
            <w:r w:rsidRPr="00B2659A">
              <w:rPr>
                <w:rFonts w:ascii="Times New Roman" w:hAnsi="Times New Roman"/>
                <w:b/>
              </w:rPr>
              <w:t xml:space="preserve">Composition comprising compound of Formula I/composition with </w:t>
            </w:r>
            <w:r>
              <w:rPr>
                <w:rFonts w:ascii="Times New Roman" w:hAnsi="Times New Roman"/>
                <w:b/>
              </w:rPr>
              <w:t>carbamoyl</w:t>
            </w:r>
            <w:r w:rsidRPr="00B2659A">
              <w:rPr>
                <w:rFonts w:ascii="Times New Roman" w:hAnsi="Times New Roman"/>
                <w:b/>
              </w:rPr>
              <w:t xml:space="preserve"> group</w:t>
            </w:r>
          </w:p>
        </w:tc>
        <w:tc>
          <w:tcPr>
            <w:tcW w:w="1356" w:type="dxa"/>
            <w:shd w:val="clear" w:color="auto" w:fill="D9D9D9" w:themeFill="background1" w:themeFillShade="D9"/>
          </w:tcPr>
          <w:p w:rsidR="002823CB" w:rsidRPr="00B2659A" w:rsidRDefault="002823CB" w:rsidP="002720A3">
            <w:pPr>
              <w:jc w:val="center"/>
              <w:rPr>
                <w:rFonts w:ascii="Times New Roman" w:hAnsi="Times New Roman"/>
                <w:b/>
              </w:rPr>
            </w:pPr>
            <w:r w:rsidRPr="00B2659A">
              <w:rPr>
                <w:rFonts w:ascii="Times New Roman" w:hAnsi="Times New Roman"/>
                <w:b/>
              </w:rPr>
              <w:t>Anti-HIV agent for parenteral administrat-ion</w:t>
            </w:r>
          </w:p>
        </w:tc>
        <w:tc>
          <w:tcPr>
            <w:tcW w:w="1337" w:type="dxa"/>
            <w:shd w:val="clear" w:color="auto" w:fill="D9D9D9" w:themeFill="background1" w:themeFillShade="D9"/>
          </w:tcPr>
          <w:p w:rsidR="002823CB" w:rsidRPr="00B2659A" w:rsidRDefault="002823CB" w:rsidP="002720A3">
            <w:pPr>
              <w:jc w:val="center"/>
              <w:rPr>
                <w:rFonts w:ascii="Times New Roman" w:hAnsi="Times New Roman"/>
                <w:b/>
              </w:rPr>
            </w:pPr>
            <w:r w:rsidRPr="00B2659A">
              <w:rPr>
                <w:rFonts w:ascii="Times New Roman" w:hAnsi="Times New Roman"/>
                <w:b/>
              </w:rPr>
              <w:t>Composition for intra-muscular or sub</w:t>
            </w:r>
            <w:r>
              <w:rPr>
                <w:rFonts w:ascii="Times New Roman" w:hAnsi="Times New Roman"/>
                <w:b/>
              </w:rPr>
              <w:t>-</w:t>
            </w:r>
            <w:r w:rsidRPr="00B2659A">
              <w:rPr>
                <w:rFonts w:ascii="Times New Roman" w:hAnsi="Times New Roman"/>
                <w:b/>
              </w:rPr>
              <w:t>cutaneous administrat</w:t>
            </w:r>
            <w:r>
              <w:rPr>
                <w:rFonts w:ascii="Times New Roman" w:hAnsi="Times New Roman"/>
                <w:b/>
              </w:rPr>
              <w:t>-</w:t>
            </w:r>
            <w:r w:rsidRPr="00B2659A">
              <w:rPr>
                <w:rFonts w:ascii="Times New Roman" w:hAnsi="Times New Roman"/>
                <w:b/>
              </w:rPr>
              <w:t>ion</w:t>
            </w:r>
          </w:p>
        </w:tc>
        <w:tc>
          <w:tcPr>
            <w:tcW w:w="1418" w:type="dxa"/>
            <w:shd w:val="clear" w:color="auto" w:fill="D9D9D9" w:themeFill="background1" w:themeFillShade="D9"/>
          </w:tcPr>
          <w:p w:rsidR="002823CB" w:rsidRPr="00B2659A" w:rsidRDefault="002823CB" w:rsidP="002720A3">
            <w:pPr>
              <w:jc w:val="center"/>
              <w:rPr>
                <w:rFonts w:ascii="Times New Roman" w:hAnsi="Times New Roman"/>
                <w:b/>
              </w:rPr>
            </w:pPr>
            <w:r w:rsidRPr="00B2659A">
              <w:rPr>
                <w:rFonts w:ascii="Times New Roman" w:hAnsi="Times New Roman"/>
                <w:b/>
              </w:rPr>
              <w:t>Anti-HIV agent in composition with preferred dose less than 500mg</w:t>
            </w:r>
          </w:p>
        </w:tc>
        <w:tc>
          <w:tcPr>
            <w:tcW w:w="1984" w:type="dxa"/>
            <w:shd w:val="clear" w:color="auto" w:fill="D9D9D9" w:themeFill="background1" w:themeFillShade="D9"/>
          </w:tcPr>
          <w:p w:rsidR="002823CB" w:rsidRPr="00B2659A" w:rsidRDefault="002823CB" w:rsidP="002720A3">
            <w:pPr>
              <w:jc w:val="center"/>
              <w:rPr>
                <w:rFonts w:ascii="Times New Roman" w:hAnsi="Times New Roman"/>
                <w:b/>
              </w:rPr>
            </w:pPr>
            <w:r w:rsidRPr="00B2659A">
              <w:rPr>
                <w:rFonts w:ascii="Times New Roman" w:hAnsi="Times New Roman"/>
                <w:b/>
              </w:rPr>
              <w:t>Long-acting agent</w:t>
            </w:r>
          </w:p>
        </w:tc>
        <w:tc>
          <w:tcPr>
            <w:tcW w:w="1559" w:type="dxa"/>
            <w:shd w:val="clear" w:color="auto" w:fill="D9D9D9" w:themeFill="background1" w:themeFillShade="D9"/>
          </w:tcPr>
          <w:p w:rsidR="002823CB" w:rsidRPr="00B2659A" w:rsidRDefault="002823CB" w:rsidP="002720A3">
            <w:pPr>
              <w:jc w:val="center"/>
              <w:rPr>
                <w:rFonts w:ascii="Times New Roman" w:hAnsi="Times New Roman"/>
                <w:b/>
              </w:rPr>
            </w:pPr>
            <w:r w:rsidRPr="00B2659A">
              <w:rPr>
                <w:rFonts w:ascii="Times New Roman" w:hAnsi="Times New Roman"/>
                <w:b/>
              </w:rPr>
              <w:t>Composition using excipients such as PEG and polysorbates</w:t>
            </w:r>
          </w:p>
        </w:tc>
        <w:tc>
          <w:tcPr>
            <w:tcW w:w="1843" w:type="dxa"/>
            <w:shd w:val="clear" w:color="auto" w:fill="D9D9D9" w:themeFill="background1" w:themeFillShade="D9"/>
          </w:tcPr>
          <w:p w:rsidR="002823CB" w:rsidRPr="00B2659A" w:rsidRDefault="002823CB" w:rsidP="002720A3">
            <w:pPr>
              <w:jc w:val="center"/>
              <w:rPr>
                <w:rFonts w:ascii="Times New Roman" w:hAnsi="Times New Roman"/>
                <w:b/>
              </w:rPr>
            </w:pPr>
            <w:r w:rsidRPr="00B2659A">
              <w:rPr>
                <w:rFonts w:ascii="Times New Roman" w:hAnsi="Times New Roman"/>
                <w:b/>
              </w:rPr>
              <w:t>Anti-HIV compositions comprising nanosized particles</w:t>
            </w:r>
          </w:p>
        </w:tc>
        <w:tc>
          <w:tcPr>
            <w:tcW w:w="1427" w:type="dxa"/>
            <w:shd w:val="clear" w:color="auto" w:fill="D9D9D9" w:themeFill="background1" w:themeFillShade="D9"/>
          </w:tcPr>
          <w:p w:rsidR="002823CB" w:rsidRPr="00B2659A" w:rsidRDefault="002823CB" w:rsidP="002720A3">
            <w:pPr>
              <w:jc w:val="center"/>
              <w:rPr>
                <w:rFonts w:ascii="Times New Roman" w:hAnsi="Times New Roman"/>
                <w:b/>
              </w:rPr>
            </w:pPr>
            <w:r w:rsidRPr="00B2659A">
              <w:rPr>
                <w:rFonts w:ascii="Times New Roman" w:hAnsi="Times New Roman"/>
                <w:b/>
              </w:rPr>
              <w:t>Sterilization/irradiation of the composition</w:t>
            </w:r>
          </w:p>
        </w:tc>
      </w:tr>
      <w:tr w:rsidR="002823CB" w:rsidRPr="00B2659A" w:rsidTr="002720A3">
        <w:tc>
          <w:tcPr>
            <w:tcW w:w="1847" w:type="dxa"/>
          </w:tcPr>
          <w:p w:rsidR="002823CB" w:rsidRPr="00B2659A" w:rsidRDefault="002823CB" w:rsidP="002720A3">
            <w:pPr>
              <w:jc w:val="center"/>
              <w:rPr>
                <w:rFonts w:ascii="Times New Roman" w:hAnsi="Times New Roman"/>
                <w:b/>
              </w:rPr>
            </w:pPr>
            <w:r w:rsidRPr="00B2659A">
              <w:rPr>
                <w:rFonts w:ascii="Times New Roman" w:hAnsi="Times New Roman"/>
                <w:b/>
              </w:rPr>
              <w:t xml:space="preserve">WO 2006/116764 A1 </w:t>
            </w:r>
            <w:r w:rsidRPr="00B2659A">
              <w:rPr>
                <w:rFonts w:ascii="Times New Roman" w:hAnsi="Times New Roman"/>
              </w:rPr>
              <w:t>(Exhibit A)</w:t>
            </w:r>
          </w:p>
        </w:tc>
        <w:tc>
          <w:tcPr>
            <w:tcW w:w="15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37" w:type="dxa"/>
          </w:tcPr>
          <w:p w:rsidR="002823CB" w:rsidRPr="00B2659A" w:rsidRDefault="002823CB" w:rsidP="002720A3">
            <w:pPr>
              <w:jc w:val="center"/>
              <w:rPr>
                <w:rFonts w:ascii="Times New Roman" w:hAnsi="Times New Roman"/>
              </w:rPr>
            </w:pPr>
          </w:p>
        </w:tc>
        <w:tc>
          <w:tcPr>
            <w:tcW w:w="1418"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984" w:type="dxa"/>
          </w:tcPr>
          <w:p w:rsidR="002823CB" w:rsidRPr="00B2659A" w:rsidRDefault="002823CB" w:rsidP="002720A3">
            <w:pPr>
              <w:jc w:val="center"/>
              <w:rPr>
                <w:rFonts w:ascii="Times New Roman" w:hAnsi="Times New Roman"/>
              </w:rPr>
            </w:pPr>
          </w:p>
        </w:tc>
        <w:tc>
          <w:tcPr>
            <w:tcW w:w="1559"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843" w:type="dxa"/>
          </w:tcPr>
          <w:p w:rsidR="002823CB" w:rsidRPr="00B2659A" w:rsidRDefault="002823CB" w:rsidP="002720A3">
            <w:pPr>
              <w:jc w:val="center"/>
              <w:rPr>
                <w:rFonts w:ascii="Times New Roman" w:hAnsi="Times New Roman"/>
              </w:rPr>
            </w:pPr>
          </w:p>
        </w:tc>
        <w:tc>
          <w:tcPr>
            <w:tcW w:w="1427" w:type="dxa"/>
          </w:tcPr>
          <w:p w:rsidR="002823CB" w:rsidRPr="00B2659A" w:rsidRDefault="002823CB" w:rsidP="002720A3">
            <w:pPr>
              <w:jc w:val="center"/>
              <w:rPr>
                <w:rFonts w:ascii="Times New Roman" w:hAnsi="Times New Roman"/>
              </w:rPr>
            </w:pPr>
          </w:p>
        </w:tc>
      </w:tr>
      <w:tr w:rsidR="002823CB" w:rsidRPr="00B2659A" w:rsidTr="002720A3">
        <w:tc>
          <w:tcPr>
            <w:tcW w:w="1847" w:type="dxa"/>
          </w:tcPr>
          <w:p w:rsidR="002823CB" w:rsidRPr="00B2659A" w:rsidRDefault="002823CB" w:rsidP="002720A3">
            <w:pPr>
              <w:jc w:val="center"/>
              <w:rPr>
                <w:rFonts w:ascii="Times New Roman" w:hAnsi="Times New Roman"/>
                <w:b/>
              </w:rPr>
            </w:pPr>
            <w:r w:rsidRPr="00B2659A">
              <w:rPr>
                <w:rFonts w:ascii="Times New Roman" w:hAnsi="Times New Roman"/>
                <w:b/>
              </w:rPr>
              <w:t xml:space="preserve">US 2009/0163519 A1 </w:t>
            </w:r>
            <w:r w:rsidRPr="00B2659A">
              <w:rPr>
                <w:rFonts w:ascii="Times New Roman" w:hAnsi="Times New Roman"/>
              </w:rPr>
              <w:t>(Exhibit B)</w:t>
            </w:r>
          </w:p>
        </w:tc>
        <w:tc>
          <w:tcPr>
            <w:tcW w:w="15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56" w:type="dxa"/>
          </w:tcPr>
          <w:p w:rsidR="002823CB" w:rsidRPr="00B2659A" w:rsidRDefault="002823CB" w:rsidP="002720A3">
            <w:pPr>
              <w:jc w:val="center"/>
              <w:rPr>
                <w:rFonts w:ascii="Times New Roman" w:hAnsi="Times New Roman"/>
              </w:rPr>
            </w:pPr>
          </w:p>
        </w:tc>
        <w:tc>
          <w:tcPr>
            <w:tcW w:w="1337"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418" w:type="dxa"/>
          </w:tcPr>
          <w:p w:rsidR="002823CB" w:rsidRPr="00B2659A" w:rsidRDefault="002823CB" w:rsidP="002720A3">
            <w:pPr>
              <w:jc w:val="center"/>
              <w:rPr>
                <w:rFonts w:ascii="Times New Roman" w:hAnsi="Times New Roman"/>
              </w:rPr>
            </w:pPr>
          </w:p>
        </w:tc>
        <w:tc>
          <w:tcPr>
            <w:tcW w:w="1984"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r w:rsidRPr="00B2659A">
              <w:rPr>
                <w:rFonts w:ascii="Times New Roman" w:hAnsi="Times New Roman"/>
              </w:rPr>
              <w:t>(once a month)</w:t>
            </w:r>
          </w:p>
        </w:tc>
        <w:tc>
          <w:tcPr>
            <w:tcW w:w="1559"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843" w:type="dxa"/>
          </w:tcPr>
          <w:p w:rsidR="002823CB" w:rsidRPr="00B2659A" w:rsidRDefault="002823CB" w:rsidP="002720A3">
            <w:pPr>
              <w:jc w:val="center"/>
              <w:rPr>
                <w:rFonts w:ascii="Times New Roman" w:hAnsi="Times New Roman"/>
              </w:rPr>
            </w:pPr>
          </w:p>
        </w:tc>
        <w:tc>
          <w:tcPr>
            <w:tcW w:w="1427" w:type="dxa"/>
          </w:tcPr>
          <w:p w:rsidR="002823CB" w:rsidRPr="00B2659A" w:rsidRDefault="002823CB" w:rsidP="002720A3">
            <w:pPr>
              <w:jc w:val="center"/>
              <w:rPr>
                <w:rFonts w:ascii="Times New Roman" w:hAnsi="Times New Roman"/>
              </w:rPr>
            </w:pPr>
          </w:p>
        </w:tc>
      </w:tr>
      <w:tr w:rsidR="002823CB" w:rsidRPr="00B2659A" w:rsidTr="002720A3">
        <w:tc>
          <w:tcPr>
            <w:tcW w:w="1847" w:type="dxa"/>
          </w:tcPr>
          <w:p w:rsidR="002823CB" w:rsidRPr="00B2659A" w:rsidRDefault="002823CB" w:rsidP="002720A3">
            <w:pPr>
              <w:jc w:val="center"/>
              <w:rPr>
                <w:rFonts w:ascii="Times New Roman" w:hAnsi="Times New Roman"/>
                <w:b/>
              </w:rPr>
            </w:pPr>
            <w:r w:rsidRPr="00B2659A">
              <w:rPr>
                <w:rFonts w:ascii="Times New Roman" w:hAnsi="Times New Roman"/>
                <w:b/>
              </w:rPr>
              <w:t xml:space="preserve">US 2005/0113386 A1 </w:t>
            </w:r>
            <w:r w:rsidRPr="00B2659A">
              <w:rPr>
                <w:rFonts w:ascii="Times New Roman" w:hAnsi="Times New Roman"/>
              </w:rPr>
              <w:t>(Exhibit C)</w:t>
            </w:r>
          </w:p>
        </w:tc>
        <w:tc>
          <w:tcPr>
            <w:tcW w:w="15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56" w:type="dxa"/>
          </w:tcPr>
          <w:p w:rsidR="002823CB" w:rsidRPr="00B2659A" w:rsidRDefault="002823CB" w:rsidP="002720A3">
            <w:pPr>
              <w:jc w:val="center"/>
              <w:rPr>
                <w:rFonts w:ascii="Times New Roman" w:hAnsi="Times New Roman"/>
              </w:rPr>
            </w:pPr>
          </w:p>
        </w:tc>
        <w:tc>
          <w:tcPr>
            <w:tcW w:w="1337" w:type="dxa"/>
          </w:tcPr>
          <w:p w:rsidR="002823CB" w:rsidRPr="00B2659A" w:rsidRDefault="002823CB" w:rsidP="002720A3">
            <w:pPr>
              <w:jc w:val="center"/>
              <w:rPr>
                <w:rFonts w:ascii="Times New Roman" w:hAnsi="Times New Roman"/>
              </w:rPr>
            </w:pPr>
          </w:p>
        </w:tc>
        <w:tc>
          <w:tcPr>
            <w:tcW w:w="1418"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984" w:type="dxa"/>
          </w:tcPr>
          <w:p w:rsidR="002823CB" w:rsidRPr="00B2659A" w:rsidRDefault="002823CB" w:rsidP="002720A3">
            <w:pPr>
              <w:jc w:val="center"/>
              <w:rPr>
                <w:rFonts w:ascii="Times New Roman" w:hAnsi="Times New Roman"/>
              </w:rPr>
            </w:pPr>
          </w:p>
        </w:tc>
        <w:tc>
          <w:tcPr>
            <w:tcW w:w="1559"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843" w:type="dxa"/>
          </w:tcPr>
          <w:p w:rsidR="002823CB" w:rsidRPr="00B2659A" w:rsidRDefault="002823CB" w:rsidP="002720A3">
            <w:pPr>
              <w:jc w:val="center"/>
              <w:rPr>
                <w:rFonts w:ascii="Times New Roman" w:hAnsi="Times New Roman"/>
              </w:rPr>
            </w:pPr>
          </w:p>
        </w:tc>
        <w:tc>
          <w:tcPr>
            <w:tcW w:w="1427"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r>
      <w:tr w:rsidR="002823CB" w:rsidRPr="00B2659A" w:rsidTr="002720A3">
        <w:tc>
          <w:tcPr>
            <w:tcW w:w="1847" w:type="dxa"/>
          </w:tcPr>
          <w:p w:rsidR="002823CB" w:rsidRPr="00B2659A" w:rsidRDefault="002823CB" w:rsidP="002720A3">
            <w:pPr>
              <w:jc w:val="center"/>
              <w:rPr>
                <w:rFonts w:ascii="Times New Roman" w:hAnsi="Times New Roman"/>
                <w:b/>
              </w:rPr>
            </w:pPr>
            <w:r w:rsidRPr="00B2659A">
              <w:rPr>
                <w:rFonts w:ascii="Times New Roman" w:hAnsi="Times New Roman"/>
                <w:b/>
              </w:rPr>
              <w:t xml:space="preserve">WO 99/02665 </w:t>
            </w:r>
            <w:r w:rsidRPr="00B2659A">
              <w:rPr>
                <w:rFonts w:ascii="Times New Roman" w:hAnsi="Times New Roman"/>
              </w:rPr>
              <w:t>(Exhibit D)</w:t>
            </w:r>
          </w:p>
        </w:tc>
        <w:tc>
          <w:tcPr>
            <w:tcW w:w="1556" w:type="dxa"/>
          </w:tcPr>
          <w:p w:rsidR="002823CB" w:rsidRPr="00B2659A" w:rsidRDefault="002823CB" w:rsidP="002720A3">
            <w:pPr>
              <w:jc w:val="center"/>
              <w:rPr>
                <w:rFonts w:ascii="Times New Roman" w:hAnsi="Times New Roman"/>
              </w:rPr>
            </w:pPr>
          </w:p>
        </w:tc>
        <w:tc>
          <w:tcPr>
            <w:tcW w:w="13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37"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418" w:type="dxa"/>
          </w:tcPr>
          <w:p w:rsidR="002823CB" w:rsidRPr="00B2659A" w:rsidRDefault="002823CB" w:rsidP="002720A3">
            <w:pPr>
              <w:jc w:val="center"/>
              <w:rPr>
                <w:rFonts w:ascii="Times New Roman" w:hAnsi="Times New Roman"/>
              </w:rPr>
            </w:pPr>
          </w:p>
        </w:tc>
        <w:tc>
          <w:tcPr>
            <w:tcW w:w="1984" w:type="dxa"/>
          </w:tcPr>
          <w:p w:rsidR="002823CB" w:rsidRPr="00B2659A" w:rsidRDefault="002823CB" w:rsidP="002720A3">
            <w:pPr>
              <w:jc w:val="center"/>
              <w:rPr>
                <w:rFonts w:ascii="Times New Roman" w:hAnsi="Times New Roman"/>
              </w:rPr>
            </w:pPr>
          </w:p>
        </w:tc>
        <w:tc>
          <w:tcPr>
            <w:tcW w:w="1559"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843"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r w:rsidRPr="00B2659A">
              <w:rPr>
                <w:rFonts w:ascii="Times New Roman" w:hAnsi="Times New Roman"/>
              </w:rPr>
              <w:t>(&lt;440nm,&lt;250nm, &lt;100nm)</w:t>
            </w:r>
          </w:p>
        </w:tc>
        <w:tc>
          <w:tcPr>
            <w:tcW w:w="1427" w:type="dxa"/>
          </w:tcPr>
          <w:p w:rsidR="002823CB" w:rsidRPr="00B2659A" w:rsidRDefault="002823CB" w:rsidP="002720A3">
            <w:pPr>
              <w:jc w:val="center"/>
              <w:rPr>
                <w:rFonts w:ascii="Times New Roman" w:hAnsi="Times New Roman"/>
              </w:rPr>
            </w:pPr>
          </w:p>
        </w:tc>
      </w:tr>
      <w:tr w:rsidR="002823CB" w:rsidRPr="00B2659A" w:rsidTr="002720A3">
        <w:tc>
          <w:tcPr>
            <w:tcW w:w="1847" w:type="dxa"/>
          </w:tcPr>
          <w:p w:rsidR="002823CB" w:rsidRPr="00B2659A" w:rsidRDefault="002823CB" w:rsidP="002720A3">
            <w:pPr>
              <w:jc w:val="center"/>
              <w:rPr>
                <w:rFonts w:ascii="Times New Roman" w:hAnsi="Times New Roman"/>
                <w:b/>
              </w:rPr>
            </w:pPr>
            <w:r w:rsidRPr="00B2659A">
              <w:rPr>
                <w:rFonts w:ascii="Times New Roman" w:hAnsi="Times New Roman"/>
                <w:b/>
              </w:rPr>
              <w:t xml:space="preserve">Tewodros </w:t>
            </w:r>
            <w:r w:rsidRPr="00B2659A">
              <w:rPr>
                <w:rFonts w:ascii="Times New Roman" w:hAnsi="Times New Roman"/>
                <w:b/>
                <w:i/>
              </w:rPr>
              <w:t xml:space="preserve">et al </w:t>
            </w:r>
            <w:r w:rsidRPr="00B2659A">
              <w:rPr>
                <w:rFonts w:ascii="Times New Roman" w:hAnsi="Times New Roman"/>
              </w:rPr>
              <w:t>(Exhibit E)</w:t>
            </w:r>
          </w:p>
        </w:tc>
        <w:tc>
          <w:tcPr>
            <w:tcW w:w="1556" w:type="dxa"/>
          </w:tcPr>
          <w:p w:rsidR="002823CB" w:rsidRPr="00B2659A" w:rsidRDefault="002823CB" w:rsidP="002720A3">
            <w:pPr>
              <w:jc w:val="center"/>
              <w:rPr>
                <w:rFonts w:ascii="Times New Roman" w:hAnsi="Times New Roman"/>
              </w:rPr>
            </w:pPr>
          </w:p>
        </w:tc>
        <w:tc>
          <w:tcPr>
            <w:tcW w:w="13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37" w:type="dxa"/>
          </w:tcPr>
          <w:p w:rsidR="002823CB" w:rsidRPr="00B2659A" w:rsidRDefault="002823CB" w:rsidP="002720A3">
            <w:pPr>
              <w:jc w:val="center"/>
              <w:rPr>
                <w:rFonts w:ascii="Times New Roman" w:hAnsi="Times New Roman"/>
              </w:rPr>
            </w:pPr>
          </w:p>
        </w:tc>
        <w:tc>
          <w:tcPr>
            <w:tcW w:w="1418" w:type="dxa"/>
          </w:tcPr>
          <w:p w:rsidR="002823CB" w:rsidRPr="00B2659A" w:rsidRDefault="002823CB" w:rsidP="002720A3">
            <w:pPr>
              <w:jc w:val="center"/>
              <w:rPr>
                <w:rFonts w:ascii="Times New Roman" w:hAnsi="Times New Roman"/>
              </w:rPr>
            </w:pPr>
          </w:p>
        </w:tc>
        <w:tc>
          <w:tcPr>
            <w:tcW w:w="1984"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559" w:type="dxa"/>
          </w:tcPr>
          <w:p w:rsidR="002823CB" w:rsidRPr="00B2659A" w:rsidRDefault="002823CB" w:rsidP="002720A3">
            <w:pPr>
              <w:jc w:val="center"/>
              <w:rPr>
                <w:rFonts w:ascii="Times New Roman" w:hAnsi="Times New Roman"/>
              </w:rPr>
            </w:pPr>
          </w:p>
        </w:tc>
        <w:tc>
          <w:tcPr>
            <w:tcW w:w="1843"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r w:rsidRPr="00B2659A">
              <w:rPr>
                <w:rFonts w:ascii="Times New Roman" w:hAnsi="Times New Roman"/>
              </w:rPr>
              <w:t>(200nm)</w:t>
            </w:r>
          </w:p>
        </w:tc>
        <w:tc>
          <w:tcPr>
            <w:tcW w:w="1427" w:type="dxa"/>
          </w:tcPr>
          <w:p w:rsidR="002823CB" w:rsidRPr="00B2659A" w:rsidRDefault="002823CB" w:rsidP="002720A3">
            <w:pPr>
              <w:jc w:val="center"/>
              <w:rPr>
                <w:rFonts w:ascii="Times New Roman" w:hAnsi="Times New Roman"/>
              </w:rPr>
            </w:pPr>
          </w:p>
        </w:tc>
      </w:tr>
      <w:tr w:rsidR="002823CB" w:rsidRPr="00B2659A" w:rsidTr="002720A3">
        <w:tc>
          <w:tcPr>
            <w:tcW w:w="1847" w:type="dxa"/>
          </w:tcPr>
          <w:p w:rsidR="002823CB" w:rsidRPr="00B2659A" w:rsidRDefault="002823CB" w:rsidP="002720A3">
            <w:pPr>
              <w:tabs>
                <w:tab w:val="left" w:pos="1358"/>
              </w:tabs>
              <w:jc w:val="center"/>
              <w:rPr>
                <w:rFonts w:ascii="Times New Roman" w:hAnsi="Times New Roman"/>
                <w:b/>
              </w:rPr>
            </w:pPr>
            <w:r w:rsidRPr="00B2659A">
              <w:rPr>
                <w:rFonts w:ascii="Times New Roman" w:hAnsi="Times New Roman"/>
                <w:b/>
              </w:rPr>
              <w:t xml:space="preserve">WO 2007/147882 A2 </w:t>
            </w:r>
            <w:r w:rsidRPr="00B2659A">
              <w:rPr>
                <w:rFonts w:ascii="Times New Roman" w:hAnsi="Times New Roman"/>
              </w:rPr>
              <w:t>(Exhibit F)</w:t>
            </w:r>
          </w:p>
        </w:tc>
        <w:tc>
          <w:tcPr>
            <w:tcW w:w="1556" w:type="dxa"/>
          </w:tcPr>
          <w:p w:rsidR="002823CB" w:rsidRPr="00B2659A" w:rsidRDefault="002823CB" w:rsidP="002720A3">
            <w:pPr>
              <w:jc w:val="center"/>
              <w:rPr>
                <w:rFonts w:ascii="Times New Roman" w:hAnsi="Times New Roman"/>
              </w:rPr>
            </w:pPr>
          </w:p>
        </w:tc>
        <w:tc>
          <w:tcPr>
            <w:tcW w:w="13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37"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418"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984"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r w:rsidRPr="00B2659A">
              <w:rPr>
                <w:rFonts w:ascii="Times New Roman" w:hAnsi="Times New Roman"/>
              </w:rPr>
              <w:t>(1-2 mnts;</w:t>
            </w:r>
            <w:r>
              <w:rPr>
                <w:rFonts w:ascii="Times New Roman" w:hAnsi="Times New Roman"/>
              </w:rPr>
              <w:t xml:space="preserve"> </w:t>
            </w:r>
            <w:r w:rsidRPr="00B2659A">
              <w:rPr>
                <w:rFonts w:ascii="Times New Roman" w:hAnsi="Times New Roman"/>
              </w:rPr>
              <w:t>2-3mnths;</w:t>
            </w:r>
            <w:r>
              <w:rPr>
                <w:rFonts w:ascii="Times New Roman" w:hAnsi="Times New Roman"/>
              </w:rPr>
              <w:t xml:space="preserve"> </w:t>
            </w:r>
            <w:r w:rsidRPr="00B2659A">
              <w:rPr>
                <w:rFonts w:ascii="Times New Roman" w:hAnsi="Times New Roman"/>
              </w:rPr>
              <w:t>3-4mnts;</w:t>
            </w:r>
            <w:r>
              <w:rPr>
                <w:rFonts w:ascii="Times New Roman" w:hAnsi="Times New Roman"/>
              </w:rPr>
              <w:t xml:space="preserve"> </w:t>
            </w:r>
            <w:r w:rsidRPr="00B2659A">
              <w:rPr>
                <w:rFonts w:ascii="Times New Roman" w:hAnsi="Times New Roman"/>
              </w:rPr>
              <w:t>3-6mnts;</w:t>
            </w:r>
            <w:r>
              <w:rPr>
                <w:rFonts w:ascii="Times New Roman" w:hAnsi="Times New Roman"/>
              </w:rPr>
              <w:t xml:space="preserve"> </w:t>
            </w:r>
            <w:r w:rsidRPr="00B2659A">
              <w:rPr>
                <w:rFonts w:ascii="Times New Roman" w:hAnsi="Times New Roman"/>
              </w:rPr>
              <w:t>6-12mnts;</w:t>
            </w:r>
            <w:r>
              <w:rPr>
                <w:rFonts w:ascii="Times New Roman" w:hAnsi="Times New Roman"/>
              </w:rPr>
              <w:t xml:space="preserve"> </w:t>
            </w:r>
            <w:r w:rsidRPr="00B2659A">
              <w:rPr>
                <w:rFonts w:ascii="Times New Roman" w:hAnsi="Times New Roman"/>
              </w:rPr>
              <w:t>12-24mnts)</w:t>
            </w:r>
          </w:p>
        </w:tc>
        <w:tc>
          <w:tcPr>
            <w:tcW w:w="1559"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843"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r w:rsidRPr="00B2659A">
              <w:rPr>
                <w:rFonts w:ascii="Times New Roman" w:hAnsi="Times New Roman"/>
              </w:rPr>
              <w:t>(200nm)</w:t>
            </w:r>
          </w:p>
        </w:tc>
        <w:tc>
          <w:tcPr>
            <w:tcW w:w="1427" w:type="dxa"/>
          </w:tcPr>
          <w:p w:rsidR="002823CB" w:rsidRPr="00B2659A" w:rsidRDefault="002823CB" w:rsidP="002720A3">
            <w:pPr>
              <w:jc w:val="center"/>
              <w:rPr>
                <w:rFonts w:ascii="Times New Roman" w:hAnsi="Times New Roman"/>
              </w:rPr>
            </w:pPr>
          </w:p>
        </w:tc>
      </w:tr>
      <w:tr w:rsidR="002823CB" w:rsidRPr="00B2659A" w:rsidTr="002720A3">
        <w:tc>
          <w:tcPr>
            <w:tcW w:w="1847" w:type="dxa"/>
          </w:tcPr>
          <w:p w:rsidR="002823CB" w:rsidRPr="00B2659A" w:rsidRDefault="002823CB" w:rsidP="002720A3">
            <w:pPr>
              <w:jc w:val="center"/>
              <w:rPr>
                <w:rFonts w:ascii="Times New Roman" w:hAnsi="Times New Roman"/>
                <w:b/>
              </w:rPr>
            </w:pPr>
            <w:r w:rsidRPr="00B2659A">
              <w:rPr>
                <w:rFonts w:ascii="Times New Roman" w:hAnsi="Times New Roman"/>
                <w:b/>
              </w:rPr>
              <w:t xml:space="preserve">Baert </w:t>
            </w:r>
            <w:r w:rsidRPr="00B2659A">
              <w:rPr>
                <w:rFonts w:ascii="Times New Roman" w:hAnsi="Times New Roman"/>
                <w:b/>
                <w:i/>
              </w:rPr>
              <w:t xml:space="preserve">et al </w:t>
            </w:r>
            <w:r w:rsidRPr="00B2659A">
              <w:rPr>
                <w:rFonts w:ascii="Times New Roman" w:hAnsi="Times New Roman"/>
              </w:rPr>
              <w:t>(Exhibit G)</w:t>
            </w:r>
          </w:p>
        </w:tc>
        <w:tc>
          <w:tcPr>
            <w:tcW w:w="1556" w:type="dxa"/>
          </w:tcPr>
          <w:p w:rsidR="002823CB" w:rsidRPr="00B2659A" w:rsidRDefault="002823CB" w:rsidP="002720A3">
            <w:pPr>
              <w:jc w:val="center"/>
              <w:rPr>
                <w:rFonts w:ascii="Times New Roman" w:hAnsi="Times New Roman"/>
              </w:rPr>
            </w:pPr>
          </w:p>
        </w:tc>
        <w:tc>
          <w:tcPr>
            <w:tcW w:w="13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37"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418" w:type="dxa"/>
          </w:tcPr>
          <w:p w:rsidR="002823CB" w:rsidRPr="00B2659A" w:rsidRDefault="002823CB" w:rsidP="002720A3">
            <w:pPr>
              <w:jc w:val="center"/>
              <w:rPr>
                <w:rFonts w:ascii="Times New Roman" w:hAnsi="Times New Roman"/>
              </w:rPr>
            </w:pPr>
          </w:p>
        </w:tc>
        <w:tc>
          <w:tcPr>
            <w:tcW w:w="1984"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r w:rsidRPr="00B2659A">
              <w:rPr>
                <w:rFonts w:ascii="Times New Roman" w:hAnsi="Times New Roman"/>
              </w:rPr>
              <w:t>(3 months)</w:t>
            </w:r>
          </w:p>
        </w:tc>
        <w:tc>
          <w:tcPr>
            <w:tcW w:w="1559" w:type="dxa"/>
          </w:tcPr>
          <w:p w:rsidR="002823CB" w:rsidRPr="00B2659A" w:rsidRDefault="002823CB" w:rsidP="002720A3">
            <w:pPr>
              <w:jc w:val="center"/>
              <w:rPr>
                <w:rFonts w:ascii="Times New Roman" w:hAnsi="Times New Roman"/>
              </w:rPr>
            </w:pPr>
          </w:p>
        </w:tc>
        <w:tc>
          <w:tcPr>
            <w:tcW w:w="1843"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r w:rsidRPr="00B2659A">
              <w:rPr>
                <w:rFonts w:ascii="Times New Roman" w:hAnsi="Times New Roman"/>
              </w:rPr>
              <w:t>(200nm)</w:t>
            </w:r>
          </w:p>
        </w:tc>
        <w:tc>
          <w:tcPr>
            <w:tcW w:w="1427"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r>
      <w:tr w:rsidR="002823CB" w:rsidRPr="00B2659A" w:rsidTr="002720A3">
        <w:tc>
          <w:tcPr>
            <w:tcW w:w="1847" w:type="dxa"/>
          </w:tcPr>
          <w:p w:rsidR="002823CB" w:rsidRPr="00B2659A" w:rsidRDefault="002823CB" w:rsidP="002720A3">
            <w:pPr>
              <w:jc w:val="center"/>
              <w:rPr>
                <w:rFonts w:ascii="Times New Roman" w:hAnsi="Times New Roman"/>
                <w:b/>
              </w:rPr>
            </w:pPr>
            <w:r w:rsidRPr="00B2659A">
              <w:rPr>
                <w:rFonts w:ascii="Times New Roman" w:hAnsi="Times New Roman"/>
                <w:b/>
              </w:rPr>
              <w:t xml:space="preserve">US 2010/0189796 A1 </w:t>
            </w:r>
            <w:r w:rsidRPr="00B2659A">
              <w:rPr>
                <w:rFonts w:ascii="Times New Roman" w:hAnsi="Times New Roman"/>
              </w:rPr>
              <w:t>(Exhibit H)</w:t>
            </w:r>
          </w:p>
        </w:tc>
        <w:tc>
          <w:tcPr>
            <w:tcW w:w="1556" w:type="dxa"/>
          </w:tcPr>
          <w:p w:rsidR="002823CB" w:rsidRPr="00B2659A" w:rsidRDefault="002823CB" w:rsidP="002720A3">
            <w:pPr>
              <w:jc w:val="center"/>
              <w:rPr>
                <w:rFonts w:ascii="Times New Roman" w:hAnsi="Times New Roman"/>
              </w:rPr>
            </w:pPr>
          </w:p>
        </w:tc>
        <w:tc>
          <w:tcPr>
            <w:tcW w:w="13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37"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418"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984"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r w:rsidRPr="00B2659A">
              <w:rPr>
                <w:rFonts w:ascii="Times New Roman" w:hAnsi="Times New Roman"/>
              </w:rPr>
              <w:t>(1 week-1 month;</w:t>
            </w:r>
            <w:r>
              <w:rPr>
                <w:rFonts w:ascii="Times New Roman" w:hAnsi="Times New Roman"/>
              </w:rPr>
              <w:t xml:space="preserve"> </w:t>
            </w:r>
            <w:r w:rsidRPr="00B2659A">
              <w:rPr>
                <w:rFonts w:ascii="Times New Roman" w:hAnsi="Times New Roman"/>
              </w:rPr>
              <w:t>1-3 months;</w:t>
            </w:r>
            <w:r>
              <w:rPr>
                <w:rFonts w:ascii="Times New Roman" w:hAnsi="Times New Roman"/>
              </w:rPr>
              <w:t xml:space="preserve"> </w:t>
            </w:r>
            <w:r w:rsidRPr="00B2659A">
              <w:rPr>
                <w:rFonts w:ascii="Times New Roman" w:hAnsi="Times New Roman"/>
              </w:rPr>
              <w:t>3-6</w:t>
            </w:r>
            <w:r>
              <w:rPr>
                <w:rFonts w:ascii="Times New Roman" w:hAnsi="Times New Roman"/>
              </w:rPr>
              <w:t xml:space="preserve"> </w:t>
            </w:r>
            <w:r w:rsidRPr="00B2659A">
              <w:rPr>
                <w:rFonts w:ascii="Times New Roman" w:hAnsi="Times New Roman"/>
              </w:rPr>
              <w:t>months)</w:t>
            </w:r>
          </w:p>
        </w:tc>
        <w:tc>
          <w:tcPr>
            <w:tcW w:w="1559" w:type="dxa"/>
          </w:tcPr>
          <w:p w:rsidR="002823CB" w:rsidRPr="00B2659A" w:rsidRDefault="002823CB" w:rsidP="002720A3">
            <w:pPr>
              <w:jc w:val="center"/>
              <w:rPr>
                <w:rFonts w:ascii="Times New Roman" w:hAnsi="Times New Roman"/>
              </w:rPr>
            </w:pPr>
          </w:p>
        </w:tc>
        <w:tc>
          <w:tcPr>
            <w:tcW w:w="1843"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r w:rsidRPr="00B2659A">
              <w:rPr>
                <w:rFonts w:ascii="Times New Roman" w:hAnsi="Times New Roman"/>
              </w:rPr>
              <w:t>(200nm)</w:t>
            </w:r>
          </w:p>
        </w:tc>
        <w:tc>
          <w:tcPr>
            <w:tcW w:w="1427" w:type="dxa"/>
          </w:tcPr>
          <w:p w:rsidR="002823CB" w:rsidRPr="00B2659A" w:rsidRDefault="002823CB" w:rsidP="002720A3">
            <w:pPr>
              <w:jc w:val="center"/>
              <w:rPr>
                <w:rFonts w:ascii="Times New Roman" w:hAnsi="Times New Roman"/>
              </w:rPr>
            </w:pPr>
          </w:p>
        </w:tc>
      </w:tr>
      <w:tr w:rsidR="002823CB" w:rsidRPr="00B2659A" w:rsidTr="002720A3">
        <w:tc>
          <w:tcPr>
            <w:tcW w:w="1847" w:type="dxa"/>
          </w:tcPr>
          <w:p w:rsidR="002823CB" w:rsidRPr="00B2659A" w:rsidRDefault="002823CB" w:rsidP="002720A3">
            <w:pPr>
              <w:jc w:val="center"/>
              <w:rPr>
                <w:rFonts w:ascii="Times New Roman" w:hAnsi="Times New Roman"/>
                <w:b/>
              </w:rPr>
            </w:pPr>
            <w:r w:rsidRPr="00B2659A">
              <w:rPr>
                <w:rFonts w:ascii="Times New Roman" w:hAnsi="Times New Roman"/>
                <w:b/>
              </w:rPr>
              <w:t xml:space="preserve">US 3,045,017 </w:t>
            </w:r>
            <w:r w:rsidRPr="00B2659A">
              <w:rPr>
                <w:rFonts w:ascii="Times New Roman" w:hAnsi="Times New Roman"/>
              </w:rPr>
              <w:t>(Exhibit I)</w:t>
            </w:r>
          </w:p>
        </w:tc>
        <w:tc>
          <w:tcPr>
            <w:tcW w:w="15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56" w:type="dxa"/>
          </w:tcPr>
          <w:p w:rsidR="002823CB" w:rsidRPr="00B2659A" w:rsidRDefault="002823CB" w:rsidP="002720A3">
            <w:pPr>
              <w:jc w:val="center"/>
              <w:rPr>
                <w:rFonts w:ascii="Times New Roman" w:hAnsi="Times New Roman"/>
              </w:rPr>
            </w:pPr>
          </w:p>
        </w:tc>
        <w:tc>
          <w:tcPr>
            <w:tcW w:w="1337" w:type="dxa"/>
          </w:tcPr>
          <w:p w:rsidR="002823CB" w:rsidRPr="00B2659A" w:rsidRDefault="002823CB" w:rsidP="002720A3">
            <w:pPr>
              <w:jc w:val="center"/>
              <w:rPr>
                <w:rFonts w:ascii="Times New Roman" w:hAnsi="Times New Roman"/>
              </w:rPr>
            </w:pPr>
          </w:p>
        </w:tc>
        <w:tc>
          <w:tcPr>
            <w:tcW w:w="1418" w:type="dxa"/>
          </w:tcPr>
          <w:p w:rsidR="002823CB" w:rsidRPr="00B2659A" w:rsidRDefault="002823CB" w:rsidP="002720A3">
            <w:pPr>
              <w:jc w:val="center"/>
              <w:rPr>
                <w:rFonts w:ascii="Times New Roman" w:hAnsi="Times New Roman"/>
              </w:rPr>
            </w:pPr>
          </w:p>
        </w:tc>
        <w:tc>
          <w:tcPr>
            <w:tcW w:w="1984" w:type="dxa"/>
          </w:tcPr>
          <w:p w:rsidR="002823CB" w:rsidRPr="00B2659A" w:rsidRDefault="002823CB" w:rsidP="002720A3">
            <w:pPr>
              <w:jc w:val="center"/>
              <w:rPr>
                <w:rFonts w:ascii="Times New Roman" w:hAnsi="Times New Roman"/>
              </w:rPr>
            </w:pPr>
          </w:p>
        </w:tc>
        <w:tc>
          <w:tcPr>
            <w:tcW w:w="1559"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843" w:type="dxa"/>
          </w:tcPr>
          <w:p w:rsidR="002823CB" w:rsidRPr="00B2659A" w:rsidRDefault="002823CB" w:rsidP="002720A3">
            <w:pPr>
              <w:jc w:val="center"/>
              <w:rPr>
                <w:rFonts w:ascii="Times New Roman" w:hAnsi="Times New Roman"/>
              </w:rPr>
            </w:pPr>
          </w:p>
        </w:tc>
        <w:tc>
          <w:tcPr>
            <w:tcW w:w="1427"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r>
      <w:tr w:rsidR="002823CB" w:rsidRPr="00B2659A" w:rsidTr="002720A3">
        <w:trPr>
          <w:trHeight w:val="650"/>
        </w:trPr>
        <w:tc>
          <w:tcPr>
            <w:tcW w:w="1847" w:type="dxa"/>
          </w:tcPr>
          <w:p w:rsidR="002823CB" w:rsidRPr="00B2659A" w:rsidRDefault="002823CB" w:rsidP="002720A3">
            <w:pPr>
              <w:jc w:val="center"/>
              <w:rPr>
                <w:rFonts w:ascii="Times New Roman" w:hAnsi="Times New Roman"/>
                <w:b/>
              </w:rPr>
            </w:pPr>
            <w:r w:rsidRPr="00B2659A">
              <w:rPr>
                <w:rFonts w:ascii="Times New Roman" w:hAnsi="Times New Roman"/>
                <w:b/>
              </w:rPr>
              <w:t xml:space="preserve">WO 2005/072706 A2 </w:t>
            </w:r>
            <w:r w:rsidRPr="00B2659A">
              <w:rPr>
                <w:rFonts w:ascii="Times New Roman" w:hAnsi="Times New Roman"/>
              </w:rPr>
              <w:t>(Exhibit J)</w:t>
            </w:r>
          </w:p>
        </w:tc>
        <w:tc>
          <w:tcPr>
            <w:tcW w:w="1556" w:type="dxa"/>
          </w:tcPr>
          <w:p w:rsidR="002823CB" w:rsidRPr="00B2659A" w:rsidRDefault="002823CB" w:rsidP="002720A3">
            <w:pPr>
              <w:jc w:val="center"/>
              <w:rPr>
                <w:rFonts w:ascii="Times New Roman" w:hAnsi="Times New Roman"/>
              </w:rPr>
            </w:pPr>
          </w:p>
        </w:tc>
        <w:tc>
          <w:tcPr>
            <w:tcW w:w="1356"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337" w:type="dxa"/>
          </w:tcPr>
          <w:p w:rsidR="002823CB" w:rsidRPr="00B2659A" w:rsidRDefault="002823CB" w:rsidP="002720A3">
            <w:pPr>
              <w:jc w:val="center"/>
              <w:rPr>
                <w:rFonts w:ascii="Times New Roman" w:hAnsi="Times New Roman"/>
              </w:rPr>
            </w:pPr>
          </w:p>
        </w:tc>
        <w:tc>
          <w:tcPr>
            <w:tcW w:w="1418" w:type="dxa"/>
          </w:tcPr>
          <w:p w:rsidR="002823CB" w:rsidRPr="00B2659A" w:rsidRDefault="002823CB" w:rsidP="002720A3">
            <w:pPr>
              <w:jc w:val="center"/>
              <w:rPr>
                <w:rFonts w:ascii="Times New Roman" w:hAnsi="Times New Roman"/>
              </w:rPr>
            </w:pPr>
          </w:p>
        </w:tc>
        <w:tc>
          <w:tcPr>
            <w:tcW w:w="1984" w:type="dxa"/>
          </w:tcPr>
          <w:p w:rsidR="002823CB" w:rsidRPr="00B2659A" w:rsidRDefault="002823CB" w:rsidP="002720A3">
            <w:pPr>
              <w:jc w:val="center"/>
              <w:rPr>
                <w:rFonts w:ascii="Times New Roman" w:hAnsi="Times New Roman"/>
              </w:rPr>
            </w:pPr>
          </w:p>
        </w:tc>
        <w:tc>
          <w:tcPr>
            <w:tcW w:w="1559"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c>
          <w:tcPr>
            <w:tcW w:w="1843"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p w:rsidR="002823CB" w:rsidRPr="00B2659A" w:rsidRDefault="002823CB" w:rsidP="002720A3">
            <w:pPr>
              <w:jc w:val="center"/>
              <w:rPr>
                <w:rFonts w:ascii="Times New Roman" w:hAnsi="Times New Roman"/>
              </w:rPr>
            </w:pPr>
          </w:p>
        </w:tc>
        <w:tc>
          <w:tcPr>
            <w:tcW w:w="1427" w:type="dxa"/>
          </w:tcPr>
          <w:p w:rsidR="002823CB" w:rsidRPr="00B2659A" w:rsidRDefault="002823CB" w:rsidP="002720A3">
            <w:pPr>
              <w:jc w:val="center"/>
              <w:rPr>
                <w:rFonts w:ascii="Times New Roman" w:hAnsi="Times New Roman"/>
              </w:rPr>
            </w:pPr>
            <w:r w:rsidRPr="00B2659A">
              <w:rPr>
                <w:rFonts w:ascii="Times New Roman" w:hAnsi="Times New Roman"/>
              </w:rPr>
              <w:sym w:font="Wingdings 2" w:char="F050"/>
            </w:r>
          </w:p>
        </w:tc>
      </w:tr>
    </w:tbl>
    <w:p w:rsidR="002823CB" w:rsidRDefault="002823CB" w:rsidP="002823CB">
      <w:pPr>
        <w:pStyle w:val="ListParagraph"/>
        <w:spacing w:before="240" w:line="360" w:lineRule="auto"/>
        <w:ind w:left="0"/>
        <w:jc w:val="both"/>
        <w:rPr>
          <w:rFonts w:ascii="Times New Roman" w:hAnsi="Times New Roman"/>
          <w:sz w:val="24"/>
          <w:szCs w:val="24"/>
        </w:rPr>
        <w:sectPr w:rsidR="002823CB" w:rsidSect="00D124DC">
          <w:pgSz w:w="16839" w:h="11907" w:orient="landscape" w:code="9"/>
          <w:pgMar w:top="1560" w:right="1388" w:bottom="1135" w:left="1701" w:header="720" w:footer="720" w:gutter="0"/>
          <w:cols w:space="720"/>
          <w:docGrid w:linePitch="360"/>
        </w:sectPr>
      </w:pPr>
    </w:p>
    <w:p w:rsidR="002823CB" w:rsidRPr="003E6D23" w:rsidRDefault="002823CB" w:rsidP="002823CB">
      <w:pPr>
        <w:pStyle w:val="ListParagraph"/>
        <w:numPr>
          <w:ilvl w:val="0"/>
          <w:numId w:val="20"/>
        </w:numPr>
        <w:spacing w:before="240" w:line="360" w:lineRule="auto"/>
        <w:ind w:left="567" w:hanging="567"/>
        <w:jc w:val="both"/>
        <w:rPr>
          <w:rFonts w:ascii="Times New Roman" w:hAnsi="Times New Roman"/>
          <w:sz w:val="24"/>
          <w:szCs w:val="24"/>
        </w:rPr>
      </w:pPr>
      <w:r w:rsidRPr="00E12672">
        <w:rPr>
          <w:rFonts w:ascii="Times New Roman" w:hAnsi="Times New Roman"/>
          <w:b/>
          <w:smallCaps/>
          <w:sz w:val="24"/>
          <w:szCs w:val="24"/>
        </w:rPr>
        <w:lastRenderedPageBreak/>
        <w:t>Claims 1 to 11 are not an invention within the meaning of this act as they fall under section 3(</w:t>
      </w:r>
      <w:r w:rsidRPr="00E12672">
        <w:rPr>
          <w:rFonts w:ascii="Times New Roman" w:hAnsi="Times New Roman"/>
          <w:b/>
          <w:sz w:val="24"/>
          <w:szCs w:val="24"/>
        </w:rPr>
        <w:t>d</w:t>
      </w:r>
      <w:r w:rsidRPr="00E12672">
        <w:rPr>
          <w:rFonts w:ascii="Times New Roman" w:hAnsi="Times New Roman"/>
          <w:b/>
          <w:smallCaps/>
          <w:sz w:val="24"/>
          <w:szCs w:val="24"/>
        </w:rPr>
        <w:t>) and therefore have to be rejected under section 25(2)(</w:t>
      </w:r>
      <w:r w:rsidRPr="00E12672">
        <w:rPr>
          <w:rFonts w:ascii="Times New Roman" w:hAnsi="Times New Roman"/>
          <w:b/>
          <w:sz w:val="24"/>
          <w:szCs w:val="24"/>
        </w:rPr>
        <w:t>f</w:t>
      </w:r>
      <w:r w:rsidRPr="00E12672">
        <w:rPr>
          <w:rFonts w:ascii="Times New Roman" w:hAnsi="Times New Roman"/>
          <w:b/>
          <w:smallCaps/>
          <w:sz w:val="24"/>
          <w:szCs w:val="24"/>
        </w:rPr>
        <w:t>) of the Patents Act</w:t>
      </w:r>
    </w:p>
    <w:p w:rsidR="002823CB" w:rsidRPr="00E12672" w:rsidRDefault="002823CB" w:rsidP="002823CB">
      <w:pPr>
        <w:pStyle w:val="ListParagraph"/>
        <w:spacing w:before="240" w:line="360" w:lineRule="auto"/>
        <w:ind w:left="567"/>
        <w:jc w:val="both"/>
        <w:rPr>
          <w:rFonts w:ascii="Times New Roman" w:hAnsi="Times New Roman"/>
          <w:sz w:val="24"/>
          <w:szCs w:val="24"/>
        </w:rPr>
      </w:pP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Section 25(2) (f) of the Patents Act provides a ground for opposition if the subject matter of the claim is not an invention within the meaning of the Act.</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Without prejudice to other grounds raised herein, it is submitted that claims 1 to 11 fail under section 3(d) of the Patents Act.</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Under Section 3(d) of the Patents Act, a new form of a known substance is not to be considered an invention unless it results in enhancement of efficacy over the efficacy of the known substance. The term “efficacy” in section 3(d) means therapeutic efficacy for pharmaceutical products [</w:t>
      </w:r>
      <w:r w:rsidRPr="00E12672">
        <w:rPr>
          <w:rFonts w:ascii="Times New Roman" w:hAnsi="Times New Roman"/>
          <w:i/>
          <w:sz w:val="24"/>
          <w:szCs w:val="24"/>
        </w:rPr>
        <w:t>see</w:t>
      </w:r>
      <w:r w:rsidRPr="00E12672">
        <w:rPr>
          <w:rFonts w:ascii="Times New Roman" w:hAnsi="Times New Roman"/>
          <w:sz w:val="24"/>
          <w:szCs w:val="24"/>
        </w:rPr>
        <w:t xml:space="preserve"> </w:t>
      </w:r>
      <w:r w:rsidRPr="00E12672">
        <w:rPr>
          <w:rStyle w:val="txtnormal1"/>
          <w:rFonts w:ascii="Times New Roman" w:hAnsi="Times New Roman" w:cs="Times New Roman"/>
          <w:i/>
          <w:sz w:val="24"/>
          <w:szCs w:val="24"/>
        </w:rPr>
        <w:t>Novartis AG v. Union of India and others</w:t>
      </w:r>
      <w:r w:rsidRPr="00E12672">
        <w:rPr>
          <w:rStyle w:val="txtnormal1"/>
          <w:rFonts w:ascii="Times New Roman" w:hAnsi="Times New Roman" w:cs="Times New Roman"/>
          <w:sz w:val="24"/>
          <w:szCs w:val="24"/>
        </w:rPr>
        <w:t>,</w:t>
      </w:r>
      <w:r w:rsidRPr="00E12672">
        <w:rPr>
          <w:rFonts w:ascii="Times New Roman" w:hAnsi="Times New Roman"/>
          <w:sz w:val="24"/>
          <w:szCs w:val="24"/>
          <w:shd w:val="clear" w:color="auto" w:fill="FFFFFF"/>
        </w:rPr>
        <w:t xml:space="preserve"> (2013) 6 SCC 1</w:t>
      </w:r>
      <w:r w:rsidRPr="00E12672">
        <w:rPr>
          <w:rFonts w:ascii="Times New Roman" w:hAnsi="Times New Roman"/>
          <w:sz w:val="24"/>
          <w:szCs w:val="24"/>
        </w:rPr>
        <w:t>].</w:t>
      </w:r>
    </w:p>
    <w:p w:rsidR="002823CB" w:rsidRPr="00E12672" w:rsidRDefault="002823CB" w:rsidP="002823CB">
      <w:pPr>
        <w:pStyle w:val="ListParagraph"/>
        <w:numPr>
          <w:ilvl w:val="0"/>
          <w:numId w:val="4"/>
        </w:numPr>
        <w:spacing w:before="240" w:line="360" w:lineRule="auto"/>
        <w:ind w:left="567" w:hanging="567"/>
        <w:jc w:val="both"/>
        <w:rPr>
          <w:rStyle w:val="txtnormal1"/>
          <w:rFonts w:ascii="Times New Roman" w:hAnsi="Times New Roman" w:cs="Times New Roman"/>
          <w:sz w:val="24"/>
          <w:szCs w:val="24"/>
        </w:rPr>
      </w:pPr>
      <w:r w:rsidRPr="00E12672">
        <w:rPr>
          <w:rFonts w:ascii="Times New Roman" w:hAnsi="Times New Roman"/>
          <w:sz w:val="24"/>
          <w:szCs w:val="24"/>
        </w:rPr>
        <w:t xml:space="preserve">Section 3(d) of the Patents Act was amended in 2005 to prevent patents on modifications of known substances. Thus combinations, salts, esters, ethers and </w:t>
      </w:r>
      <w:r w:rsidRPr="00E12672">
        <w:rPr>
          <w:rFonts w:ascii="Times New Roman" w:hAnsi="Times New Roman"/>
          <w:bCs/>
          <w:iCs/>
          <w:sz w:val="24"/>
          <w:szCs w:val="24"/>
        </w:rPr>
        <w:t>other derivatives</w:t>
      </w:r>
      <w:r w:rsidRPr="00E12672">
        <w:rPr>
          <w:rFonts w:ascii="Times New Roman" w:hAnsi="Times New Roman"/>
          <w:sz w:val="24"/>
          <w:szCs w:val="24"/>
        </w:rPr>
        <w:t xml:space="preserve"> of known substances are to be considered the same substance for the purposes of the Patents Act. </w:t>
      </w:r>
      <w:r w:rsidRPr="00E12672">
        <w:rPr>
          <w:rStyle w:val="txtnormal1"/>
          <w:rFonts w:ascii="Times New Roman" w:hAnsi="Times New Roman" w:cs="Times New Roman"/>
          <w:sz w:val="24"/>
          <w:szCs w:val="24"/>
        </w:rPr>
        <w:t>Under the law, each product claim that relates to a new form of a known substance has to satisfy the requirement laid down under section 3(d).</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Style w:val="txtnormal1"/>
          <w:rFonts w:ascii="Times New Roman" w:hAnsi="Times New Roman" w:cs="Times New Roman"/>
          <w:sz w:val="24"/>
          <w:szCs w:val="24"/>
        </w:rPr>
        <w:t>It is an established position of law that section 3(d) has to be satisfied independently of sections 2(1)(j) and 2(1)(ja) [</w:t>
      </w:r>
      <w:r w:rsidRPr="00E12672">
        <w:rPr>
          <w:rStyle w:val="txtnormal1"/>
          <w:rFonts w:ascii="Times New Roman" w:hAnsi="Times New Roman" w:cs="Times New Roman"/>
          <w:i/>
          <w:sz w:val="24"/>
          <w:szCs w:val="24"/>
        </w:rPr>
        <w:t>see</w:t>
      </w:r>
      <w:r w:rsidRPr="00E12672">
        <w:rPr>
          <w:rStyle w:val="txtnormal1"/>
          <w:rFonts w:ascii="Times New Roman" w:hAnsi="Times New Roman" w:cs="Times New Roman"/>
          <w:sz w:val="24"/>
          <w:szCs w:val="24"/>
        </w:rPr>
        <w:t xml:space="preserve"> </w:t>
      </w:r>
      <w:r w:rsidRPr="00E12672">
        <w:rPr>
          <w:rStyle w:val="txtnormal1"/>
          <w:rFonts w:ascii="Times New Roman" w:hAnsi="Times New Roman" w:cs="Times New Roman"/>
          <w:i/>
          <w:sz w:val="24"/>
          <w:szCs w:val="24"/>
        </w:rPr>
        <w:t>Novartis AG v. Union of India</w:t>
      </w:r>
      <w:r w:rsidRPr="00E12672">
        <w:rPr>
          <w:rStyle w:val="txtnormal1"/>
          <w:rFonts w:ascii="Times New Roman" w:hAnsi="Times New Roman" w:cs="Times New Roman"/>
          <w:sz w:val="24"/>
          <w:szCs w:val="24"/>
        </w:rPr>
        <w:t xml:space="preserve"> </w:t>
      </w:r>
      <w:r w:rsidRPr="00E12672">
        <w:rPr>
          <w:rStyle w:val="txtnormal1"/>
          <w:rFonts w:ascii="Times New Roman" w:hAnsi="Times New Roman" w:cs="Times New Roman"/>
          <w:i/>
          <w:sz w:val="24"/>
          <w:szCs w:val="24"/>
        </w:rPr>
        <w:t>and others</w:t>
      </w:r>
      <w:r w:rsidRPr="00E12672">
        <w:rPr>
          <w:rStyle w:val="txtnormal1"/>
          <w:rFonts w:ascii="Times New Roman" w:hAnsi="Times New Roman" w:cs="Times New Roman"/>
          <w:sz w:val="24"/>
          <w:szCs w:val="24"/>
        </w:rPr>
        <w:t>,</w:t>
      </w:r>
      <w:r w:rsidRPr="00E12672">
        <w:rPr>
          <w:rFonts w:ascii="Times New Roman" w:hAnsi="Times New Roman"/>
          <w:sz w:val="24"/>
          <w:szCs w:val="24"/>
          <w:shd w:val="clear" w:color="auto" w:fill="FFFFFF"/>
        </w:rPr>
        <w:t xml:space="preserve"> (2013) 6 SCC 1</w:t>
      </w:r>
      <w:r w:rsidRPr="00E12672">
        <w:rPr>
          <w:rStyle w:val="txtnormal1"/>
          <w:rFonts w:ascii="Times New Roman" w:hAnsi="Times New Roman" w:cs="Times New Roman"/>
          <w:sz w:val="24"/>
          <w:szCs w:val="24"/>
        </w:rPr>
        <w:t xml:space="preserve">]. Further, </w:t>
      </w:r>
      <w:r w:rsidRPr="00E12672">
        <w:rPr>
          <w:rFonts w:ascii="Times New Roman" w:hAnsi="Times New Roman"/>
          <w:sz w:val="24"/>
          <w:szCs w:val="24"/>
        </w:rPr>
        <w:t>the burden of proof is on the patent applicant to satisfy the requirements of section 3(d), i.e. that of showing enhanced efficacy [</w:t>
      </w:r>
      <w:r w:rsidRPr="00E12672">
        <w:rPr>
          <w:rFonts w:ascii="Times New Roman" w:hAnsi="Times New Roman"/>
          <w:i/>
          <w:sz w:val="24"/>
          <w:szCs w:val="24"/>
        </w:rPr>
        <w:t>see Novartis AG and another v. Union of India and others</w:t>
      </w:r>
      <w:r w:rsidRPr="00E12672">
        <w:rPr>
          <w:rFonts w:ascii="Times New Roman" w:hAnsi="Times New Roman"/>
          <w:sz w:val="24"/>
          <w:szCs w:val="24"/>
        </w:rPr>
        <w:t xml:space="preserve">, (2007) 4 MLJ 1153, para 13].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Further, the Assistant Controller of Patent &amp; Designs in the matter of 286/KOLNP/2013, refusing the application for fulfilling the requirement under Section 3(d) had noted, “</w:t>
      </w:r>
      <w:r w:rsidRPr="00E12672">
        <w:rPr>
          <w:rFonts w:ascii="Times New Roman" w:hAnsi="Times New Roman"/>
          <w:i/>
          <w:sz w:val="24"/>
          <w:szCs w:val="24"/>
        </w:rPr>
        <w:t xml:space="preserve">In the present application the applicant is claiming a formulation of the (-) enantiomer of the known compound of Formula I. I would like to state here, though from the preamble of the </w:t>
      </w:r>
      <w:r w:rsidRPr="00E12672">
        <w:rPr>
          <w:rFonts w:ascii="Times New Roman" w:hAnsi="Times New Roman"/>
          <w:i/>
          <w:sz w:val="24"/>
          <w:szCs w:val="24"/>
        </w:rPr>
        <w:lastRenderedPageBreak/>
        <w:t xml:space="preserve">claims it appears that a formulation is being claimed but actually a (-) enantiomer of the know compound is being claimed in the disguise of formulation claims. From The agent’s submission as given above and disclosure of the cited documents it is clear that the compound of the formula I </w:t>
      </w:r>
      <w:proofErr w:type="gramStart"/>
      <w:r w:rsidRPr="00E12672">
        <w:rPr>
          <w:rFonts w:ascii="Times New Roman" w:hAnsi="Times New Roman"/>
          <w:i/>
          <w:sz w:val="24"/>
          <w:szCs w:val="24"/>
        </w:rPr>
        <w:t>is</w:t>
      </w:r>
      <w:proofErr w:type="gramEnd"/>
      <w:r w:rsidRPr="00E12672">
        <w:rPr>
          <w:rFonts w:ascii="Times New Roman" w:hAnsi="Times New Roman"/>
          <w:i/>
          <w:sz w:val="24"/>
          <w:szCs w:val="24"/>
        </w:rPr>
        <w:t xml:space="preserve"> already known</w:t>
      </w:r>
      <w:r w:rsidRPr="00E12672">
        <w:rPr>
          <w:rFonts w:ascii="Times New Roman" w:hAnsi="Times New Roman"/>
          <w:sz w:val="24"/>
          <w:szCs w:val="24"/>
        </w:rPr>
        <w:t xml:space="preserve">.” (sic) (See order of the Assistant Controller of Patent &amp; Designs dated 29.10.2019 in 286/KOLNP/2013, at page 6, para 3). A copy of this order is annexed herewith as </w:t>
      </w:r>
      <w:r>
        <w:rPr>
          <w:rFonts w:ascii="Times New Roman" w:hAnsi="Times New Roman"/>
          <w:b/>
          <w:sz w:val="24"/>
          <w:szCs w:val="24"/>
        </w:rPr>
        <w:t>Exhibit K</w:t>
      </w:r>
      <w:r w:rsidRPr="00E12672">
        <w:rPr>
          <w:rFonts w:ascii="Times New Roman" w:hAnsi="Times New Roman"/>
          <w:sz w:val="24"/>
          <w:szCs w:val="24"/>
        </w:rPr>
        <w:t>.</w:t>
      </w:r>
      <w:r w:rsidRPr="00E12672" w:rsidDel="00031524">
        <w:rPr>
          <w:rFonts w:ascii="Times New Roman" w:hAnsi="Times New Roman"/>
          <w:sz w:val="24"/>
          <w:szCs w:val="24"/>
        </w:rPr>
        <w:t xml:space="preserve">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It is submitted that WO’764 already discloses the compound of formula I which a part of the composition as claimed in claim 1 of the present patent. In fact, WO’764 discloses a composition comprising Cabotegravir viz. (3R, 11aS)-N-[(2,4-Oifluorophenyl)methyl]-6-hydroxy-3-methyl-5,7-dioxo-2,3,5,7, l1, 1la -hexahydro[1,3]oxazolo[3,2-a]pyrido[1,2-d]pyrazine-8-carboxamide (or its salt) with conventional excipients, binders, lubricants, aqueous solvents, oily solvents, emulsifiers, suspending agents, preservatives, stabilizers. Further, the claim 1 is merely disguised in the form of a different composition comprising of the known compound of Formula I.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A reading of claim 1 of the present patent would indicate that the claimed composition is a mere combination of the known components viz. Cabotegravir with known excipients viz. polysorbate and polyethylene glycol.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The patentee had failed to provide any data that indicates the claimed composition to be having an enhanced therapeutic efficacy over the composition claimed in WO’764. Hence, the claimed composition of the present patent is the same substance as disclosed in WO’764 for the purposes of the Patents Act and fails to pass the test of Section 3(d).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Patentee has submitted graphs with the complete specification that indicate plasma concentration time profiles of a composition with Compound of formula (I). These graphs do not indicate enhancement of therapeutic efficacy over the known compound.</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lastRenderedPageBreak/>
        <w:t>Attention is also drawn to the expert affidavit submitted by the patentee. It is to be noted that to indicate activity of the claimed compound the expert has referred to “</w:t>
      </w:r>
      <w:r w:rsidRPr="00E12672">
        <w:rPr>
          <w:rFonts w:ascii="Times New Roman" w:hAnsi="Times New Roman"/>
          <w:i/>
          <w:sz w:val="24"/>
          <w:szCs w:val="24"/>
        </w:rPr>
        <w:t>Long-acting intramuscular Cabotegravir and rilpivirine in adults with HIV-1 infection (LATWW-2):96 week results of a randomised, open label, phase 2b, non-inferiority trial</w:t>
      </w:r>
      <w:r w:rsidRPr="00E12672">
        <w:rPr>
          <w:rFonts w:ascii="Times New Roman" w:hAnsi="Times New Roman"/>
          <w:sz w:val="24"/>
          <w:szCs w:val="24"/>
        </w:rPr>
        <w:t xml:space="preserve">” by David Margolis </w:t>
      </w:r>
      <w:r w:rsidRPr="00E12672">
        <w:rPr>
          <w:rFonts w:ascii="Times New Roman" w:hAnsi="Times New Roman"/>
          <w:i/>
          <w:sz w:val="24"/>
          <w:szCs w:val="24"/>
        </w:rPr>
        <w:t>et al</w:t>
      </w:r>
      <w:r w:rsidRPr="00E12672">
        <w:rPr>
          <w:rFonts w:ascii="Times New Roman" w:hAnsi="Times New Roman"/>
          <w:sz w:val="24"/>
          <w:szCs w:val="24"/>
        </w:rPr>
        <w:t xml:space="preserve">. It is to be noted that this publication DOES NOT detail the activity of the claimed composition of the present patent. Instead this publication analyses the result of intramuscular administration of long acting Cabotegravir with long acting rilpivirine and does not analyse any result of administration of long acting Cabotegravir in the claimed composition by itself (see David Margolis </w:t>
      </w:r>
      <w:r w:rsidRPr="00E12672">
        <w:rPr>
          <w:rFonts w:ascii="Times New Roman" w:hAnsi="Times New Roman"/>
          <w:i/>
          <w:sz w:val="24"/>
          <w:szCs w:val="24"/>
        </w:rPr>
        <w:t>et al</w:t>
      </w:r>
      <w:r w:rsidRPr="00E12672">
        <w:rPr>
          <w:rFonts w:ascii="Times New Roman" w:hAnsi="Times New Roman"/>
          <w:sz w:val="24"/>
          <w:szCs w:val="24"/>
        </w:rPr>
        <w:t>, internal page 1501, LHS, para 3, lines 10-16; internal page 1502 at figure 1: Trial Profile; internal page 1504, figure 2).</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As indicated, the results reported in David Margolis </w:t>
      </w:r>
      <w:r w:rsidRPr="00E12672">
        <w:rPr>
          <w:rFonts w:ascii="Times New Roman" w:hAnsi="Times New Roman"/>
          <w:i/>
          <w:sz w:val="24"/>
          <w:szCs w:val="24"/>
        </w:rPr>
        <w:t>et al</w:t>
      </w:r>
      <w:r w:rsidRPr="00E12672">
        <w:rPr>
          <w:rFonts w:ascii="Times New Roman" w:hAnsi="Times New Roman"/>
          <w:sz w:val="24"/>
          <w:szCs w:val="24"/>
        </w:rPr>
        <w:t xml:space="preserve"> does not indicate the enhanced therapeutic efficacy shown by the claimed compound of the present patent over the known composition of Cabotegravir in the prior art. The patentee has therefore failed discharge its burden of showing an enhancement in therapeutic efficacy to fulfil the requirement of Section 3(d) and claims 1(and its dependent claims 2-11) must be revoked.  </w:t>
      </w:r>
    </w:p>
    <w:p w:rsidR="002823CB" w:rsidRPr="00F32E56" w:rsidRDefault="002823CB" w:rsidP="002823CB">
      <w:pPr>
        <w:pStyle w:val="ListParagraph"/>
        <w:spacing w:before="240" w:line="360" w:lineRule="auto"/>
        <w:ind w:left="567"/>
        <w:jc w:val="both"/>
        <w:rPr>
          <w:rFonts w:ascii="Times New Roman" w:hAnsi="Times New Roman"/>
          <w:i/>
          <w:sz w:val="24"/>
          <w:szCs w:val="24"/>
        </w:rPr>
      </w:pPr>
    </w:p>
    <w:p w:rsidR="002823CB" w:rsidRPr="003E6D23" w:rsidRDefault="002823CB" w:rsidP="002823CB">
      <w:pPr>
        <w:pStyle w:val="ListParagraph"/>
        <w:numPr>
          <w:ilvl w:val="0"/>
          <w:numId w:val="20"/>
        </w:numPr>
        <w:spacing w:before="240" w:line="360" w:lineRule="auto"/>
        <w:ind w:left="567" w:hanging="567"/>
        <w:jc w:val="both"/>
        <w:rPr>
          <w:rFonts w:ascii="Times New Roman" w:hAnsi="Times New Roman"/>
          <w:i/>
          <w:sz w:val="24"/>
          <w:szCs w:val="24"/>
        </w:rPr>
      </w:pPr>
      <w:r w:rsidRPr="00E12672">
        <w:rPr>
          <w:rFonts w:ascii="Times New Roman" w:hAnsi="Times New Roman"/>
          <w:b/>
          <w:smallCaps/>
          <w:sz w:val="24"/>
          <w:szCs w:val="24"/>
        </w:rPr>
        <w:t>Claims 1 to 11 are not an invention within the meaning of the patents act and fall under section 3(</w:t>
      </w:r>
      <w:r w:rsidRPr="00E12672">
        <w:rPr>
          <w:rFonts w:ascii="Times New Roman" w:hAnsi="Times New Roman"/>
          <w:b/>
          <w:sz w:val="24"/>
          <w:szCs w:val="24"/>
        </w:rPr>
        <w:t>e</w:t>
      </w:r>
      <w:r w:rsidRPr="00E12672">
        <w:rPr>
          <w:rFonts w:ascii="Times New Roman" w:hAnsi="Times New Roman"/>
          <w:b/>
          <w:smallCaps/>
          <w:sz w:val="24"/>
          <w:szCs w:val="24"/>
        </w:rPr>
        <w:t>) and therefore ground of section 25(2)(</w:t>
      </w:r>
      <w:r w:rsidRPr="00E12672">
        <w:rPr>
          <w:rFonts w:ascii="Times New Roman" w:hAnsi="Times New Roman"/>
          <w:b/>
          <w:sz w:val="24"/>
          <w:szCs w:val="24"/>
        </w:rPr>
        <w:t>f</w:t>
      </w:r>
      <w:r w:rsidRPr="00E12672">
        <w:rPr>
          <w:rFonts w:ascii="Times New Roman" w:hAnsi="Times New Roman"/>
          <w:b/>
          <w:smallCaps/>
          <w:sz w:val="24"/>
          <w:szCs w:val="24"/>
        </w:rPr>
        <w:t>) of the Patents Act is being raised</w:t>
      </w:r>
    </w:p>
    <w:p w:rsidR="002823CB" w:rsidRPr="00E12672" w:rsidRDefault="002823CB" w:rsidP="002823CB">
      <w:pPr>
        <w:pStyle w:val="ListParagraph"/>
        <w:spacing w:before="240" w:line="360" w:lineRule="auto"/>
        <w:ind w:left="567"/>
        <w:jc w:val="both"/>
        <w:rPr>
          <w:rFonts w:ascii="Times New Roman" w:hAnsi="Times New Roman"/>
          <w:i/>
          <w:sz w:val="24"/>
          <w:szCs w:val="24"/>
        </w:rPr>
      </w:pP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 Under section 3(e) of the Patents Act, subject matter relating to “</w:t>
      </w:r>
      <w:r w:rsidRPr="00E12672">
        <w:rPr>
          <w:rFonts w:ascii="Times New Roman" w:hAnsi="Times New Roman"/>
          <w:i/>
          <w:sz w:val="24"/>
          <w:szCs w:val="24"/>
        </w:rPr>
        <w:t>a substance obtained by a mere admixture resulting only in the aggregation of the properties of the components thereof</w:t>
      </w:r>
      <w:r w:rsidRPr="00E12672">
        <w:rPr>
          <w:rFonts w:ascii="Times New Roman" w:hAnsi="Times New Roman"/>
          <w:sz w:val="24"/>
          <w:szCs w:val="24"/>
        </w:rPr>
        <w:t xml:space="preserve">” is not considered as an invention under the Patents Act.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Without prejudice to other grounds raised in this opposition, the Opponent raises an opposition under Section 25(2) (f) of the Patents Act.</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It is a settled principle that, “</w:t>
      </w:r>
      <w:r w:rsidRPr="00E12672">
        <w:rPr>
          <w:rFonts w:ascii="Times New Roman" w:hAnsi="Times New Roman"/>
          <w:i/>
          <w:sz w:val="24"/>
          <w:szCs w:val="24"/>
        </w:rPr>
        <w:t xml:space="preserve">The question of efficacy and or synergism are matters of scientific facts which are required to be embodied in the </w:t>
      </w:r>
      <w:r w:rsidRPr="00E12672">
        <w:rPr>
          <w:rFonts w:ascii="Times New Roman" w:hAnsi="Times New Roman"/>
          <w:i/>
          <w:sz w:val="24"/>
          <w:szCs w:val="24"/>
        </w:rPr>
        <w:lastRenderedPageBreak/>
        <w:t>specification so that the said characteristics are apparent from the specification.</w:t>
      </w:r>
      <w:r w:rsidRPr="00E12672">
        <w:rPr>
          <w:rFonts w:ascii="Times New Roman" w:hAnsi="Times New Roman"/>
          <w:sz w:val="24"/>
          <w:szCs w:val="24"/>
        </w:rPr>
        <w:t>” (See order of the Ass</w:t>
      </w:r>
      <w:r>
        <w:rPr>
          <w:rFonts w:ascii="Times New Roman" w:hAnsi="Times New Roman"/>
          <w:sz w:val="24"/>
          <w:szCs w:val="24"/>
        </w:rPr>
        <w:t>istant</w:t>
      </w:r>
      <w:r w:rsidRPr="00E12672">
        <w:rPr>
          <w:rFonts w:ascii="Times New Roman" w:hAnsi="Times New Roman"/>
          <w:sz w:val="24"/>
          <w:szCs w:val="24"/>
        </w:rPr>
        <w:t xml:space="preserve"> Controller of Patents &amp; Designs</w:t>
      </w:r>
      <w:r>
        <w:rPr>
          <w:rFonts w:ascii="Times New Roman" w:hAnsi="Times New Roman"/>
          <w:sz w:val="24"/>
          <w:szCs w:val="24"/>
        </w:rPr>
        <w:t xml:space="preserve"> dated 05.10.2012</w:t>
      </w:r>
      <w:r w:rsidRPr="00E12672">
        <w:rPr>
          <w:rFonts w:ascii="Times New Roman" w:hAnsi="Times New Roman"/>
          <w:sz w:val="24"/>
          <w:szCs w:val="24"/>
        </w:rPr>
        <w:t xml:space="preserve"> in patent application no. 314/MUM/2008, at lines 3-5 at internal page 7 annexed hereto as </w:t>
      </w:r>
      <w:r w:rsidRPr="00E12672">
        <w:rPr>
          <w:rFonts w:ascii="Times New Roman" w:hAnsi="Times New Roman"/>
          <w:b/>
          <w:sz w:val="24"/>
          <w:szCs w:val="24"/>
        </w:rPr>
        <w:t>Ex</w:t>
      </w:r>
      <w:r>
        <w:rPr>
          <w:rFonts w:ascii="Times New Roman" w:hAnsi="Times New Roman"/>
          <w:b/>
          <w:sz w:val="24"/>
          <w:szCs w:val="24"/>
        </w:rPr>
        <w:t>hibit L</w:t>
      </w:r>
      <w:r w:rsidRPr="00E12672">
        <w:rPr>
          <w:rFonts w:ascii="Times New Roman" w:hAnsi="Times New Roman"/>
          <w:sz w:val="24"/>
          <w:szCs w:val="24"/>
        </w:rPr>
        <w:t xml:space="preserve">).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Further merely providing the composition of each of the ingredients in terms of weight/dose does not discharge the burden of showing synergism. The Asst. Controller of Patents &amp; Designs, while rejecting application no. 3725/CHENP/2006, on grounds of Section 3(e) noted, “</w:t>
      </w:r>
      <w:r w:rsidRPr="00E12672">
        <w:rPr>
          <w:rFonts w:ascii="Times New Roman" w:hAnsi="Times New Roman"/>
          <w:i/>
          <w:sz w:val="24"/>
          <w:szCs w:val="24"/>
        </w:rPr>
        <w:t>Applicant doesn’t provide any supportive experimental data or comparative examples highlighting the surprising and or synergistic effect of the claimed formulation over the prior art compositions. Instead examples 1, 2 and 3 provide only the amount of individual components in grams.</w:t>
      </w:r>
      <w:r w:rsidRPr="00E12672">
        <w:rPr>
          <w:rFonts w:ascii="Times New Roman" w:hAnsi="Times New Roman"/>
          <w:sz w:val="24"/>
          <w:szCs w:val="24"/>
        </w:rPr>
        <w:t xml:space="preserve">” (See the order of the </w:t>
      </w:r>
      <w:r>
        <w:rPr>
          <w:rFonts w:ascii="Times New Roman" w:hAnsi="Times New Roman"/>
          <w:sz w:val="24"/>
          <w:szCs w:val="24"/>
        </w:rPr>
        <w:t xml:space="preserve">Assistant </w:t>
      </w:r>
      <w:r w:rsidRPr="00E12672">
        <w:rPr>
          <w:rFonts w:ascii="Times New Roman" w:hAnsi="Times New Roman"/>
          <w:sz w:val="24"/>
          <w:szCs w:val="24"/>
        </w:rPr>
        <w:t xml:space="preserve">Controller </w:t>
      </w:r>
      <w:r>
        <w:rPr>
          <w:rFonts w:ascii="Times New Roman" w:hAnsi="Times New Roman"/>
          <w:sz w:val="24"/>
          <w:szCs w:val="24"/>
        </w:rPr>
        <w:t xml:space="preserve">dated </w:t>
      </w:r>
      <w:proofErr w:type="gramStart"/>
      <w:r>
        <w:rPr>
          <w:rFonts w:ascii="Times New Roman" w:hAnsi="Times New Roman"/>
          <w:sz w:val="24"/>
          <w:szCs w:val="24"/>
        </w:rPr>
        <w:t xml:space="preserve">09.10.2012 </w:t>
      </w:r>
      <w:r w:rsidRPr="00E12672">
        <w:rPr>
          <w:rFonts w:ascii="Times New Roman" w:hAnsi="Times New Roman"/>
          <w:sz w:val="24"/>
          <w:szCs w:val="24"/>
        </w:rPr>
        <w:t xml:space="preserve"> in</w:t>
      </w:r>
      <w:proofErr w:type="gramEnd"/>
      <w:r w:rsidRPr="00E12672">
        <w:rPr>
          <w:rFonts w:ascii="Times New Roman" w:hAnsi="Times New Roman"/>
          <w:sz w:val="24"/>
          <w:szCs w:val="24"/>
        </w:rPr>
        <w:t xml:space="preserve"> 3725/CHENP/2006, hereto annexed as </w:t>
      </w:r>
      <w:r w:rsidRPr="00F32E56">
        <w:rPr>
          <w:rFonts w:ascii="Times New Roman" w:hAnsi="Times New Roman"/>
          <w:b/>
          <w:sz w:val="24"/>
          <w:szCs w:val="24"/>
        </w:rPr>
        <w:t>Exhibit M</w:t>
      </w:r>
      <w:r w:rsidRPr="00F32E56">
        <w:rPr>
          <w:rFonts w:ascii="Times New Roman" w:hAnsi="Times New Roman"/>
          <w:sz w:val="24"/>
          <w:szCs w:val="24"/>
        </w:rPr>
        <w:t xml:space="preserve"> at</w:t>
      </w:r>
      <w:r w:rsidRPr="00E12672">
        <w:rPr>
          <w:rFonts w:ascii="Times New Roman" w:hAnsi="Times New Roman"/>
          <w:sz w:val="24"/>
          <w:szCs w:val="24"/>
        </w:rPr>
        <w:t xml:space="preserve"> internal page 4. Para 9)</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It is submitted that the pharmaceutical composition claimed by Patentee in Claim 1 is a mere admixture of known components in the prior art viz. Cabotegravir (or its salt) with excipients known in the art. It is further submitted that such a combination of the known components has not shown any synergistic effect, whether improved/ unexpected or otherwise in the claimed composition of the present patent.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Again, attention is also drawn to the expert affidavit submitted by the patentee. It is to be noted that to indicate the effect of use of the claimed compound the expert has referred to “</w:t>
      </w:r>
      <w:r w:rsidRPr="00E12672">
        <w:rPr>
          <w:rFonts w:ascii="Times New Roman" w:hAnsi="Times New Roman"/>
          <w:i/>
          <w:sz w:val="24"/>
          <w:szCs w:val="24"/>
        </w:rPr>
        <w:t>Long-acting intramuscular Cabotegravir and rilpivirine in adults with HIV-1 infection (LATWW-2):96 week results of a randomised, open label, phase 2b, non-inferiority trial</w:t>
      </w:r>
      <w:r w:rsidRPr="00E12672">
        <w:rPr>
          <w:rFonts w:ascii="Times New Roman" w:hAnsi="Times New Roman"/>
          <w:sz w:val="24"/>
          <w:szCs w:val="24"/>
        </w:rPr>
        <w:t xml:space="preserve">” by David Margolis </w:t>
      </w:r>
      <w:r w:rsidRPr="00E12672">
        <w:rPr>
          <w:rFonts w:ascii="Times New Roman" w:hAnsi="Times New Roman"/>
          <w:i/>
          <w:sz w:val="24"/>
          <w:szCs w:val="24"/>
        </w:rPr>
        <w:t>et al</w:t>
      </w:r>
      <w:r w:rsidRPr="00E12672">
        <w:rPr>
          <w:rFonts w:ascii="Times New Roman" w:hAnsi="Times New Roman"/>
          <w:sz w:val="24"/>
          <w:szCs w:val="24"/>
        </w:rPr>
        <w:t xml:space="preserve">. It is to be noted that this publication DOES NOT detail any synergistic effect of use of the components of the claimed composition of the present patent. Instead this publication analyses the result of intramuscular administration of long acting Cabotegravir with long acting rilpivirine and does not analyse any result of administration of the claimed composition by itself (see David Margolis </w:t>
      </w:r>
      <w:r w:rsidRPr="00E12672">
        <w:rPr>
          <w:rFonts w:ascii="Times New Roman" w:hAnsi="Times New Roman"/>
          <w:i/>
          <w:sz w:val="24"/>
          <w:szCs w:val="24"/>
        </w:rPr>
        <w:t>et al</w:t>
      </w:r>
      <w:r w:rsidRPr="00E12672">
        <w:rPr>
          <w:rFonts w:ascii="Times New Roman" w:hAnsi="Times New Roman"/>
          <w:sz w:val="24"/>
          <w:szCs w:val="24"/>
        </w:rPr>
        <w:t xml:space="preserve">, internal page 1501, </w:t>
      </w:r>
      <w:r w:rsidRPr="00E12672">
        <w:rPr>
          <w:rFonts w:ascii="Times New Roman" w:hAnsi="Times New Roman"/>
          <w:sz w:val="24"/>
          <w:szCs w:val="24"/>
        </w:rPr>
        <w:lastRenderedPageBreak/>
        <w:t>LHS, para 3, lines 10-16; internal page 1502 at figure 1 : Trial Profile; internal page 1504, figure 2).</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As indicated, the result reported in David Margolis </w:t>
      </w:r>
      <w:r w:rsidRPr="00E12672">
        <w:rPr>
          <w:rFonts w:ascii="Times New Roman" w:hAnsi="Times New Roman"/>
          <w:i/>
          <w:sz w:val="24"/>
          <w:szCs w:val="24"/>
        </w:rPr>
        <w:t>et al</w:t>
      </w:r>
      <w:r w:rsidRPr="00E12672">
        <w:rPr>
          <w:rFonts w:ascii="Times New Roman" w:hAnsi="Times New Roman"/>
          <w:sz w:val="24"/>
          <w:szCs w:val="24"/>
        </w:rPr>
        <w:t xml:space="preserve"> does not indicate any synergistic effect of the claimed compound, Therefore claim 1 and its dependent claims 2-11 fail the test of Section 3(e). Hence claims 1 (and its dependent claims 2-11) do not disclose any synergistic activity and must be revoked.  </w:t>
      </w:r>
    </w:p>
    <w:p w:rsidR="002823CB" w:rsidRPr="00E12672" w:rsidRDefault="002823CB" w:rsidP="002823CB">
      <w:pPr>
        <w:pStyle w:val="ListParagraph"/>
        <w:spacing w:before="240" w:line="360" w:lineRule="auto"/>
        <w:ind w:left="567"/>
        <w:jc w:val="both"/>
        <w:rPr>
          <w:rFonts w:ascii="Times New Roman" w:hAnsi="Times New Roman"/>
          <w:i/>
          <w:sz w:val="24"/>
          <w:szCs w:val="24"/>
        </w:rPr>
      </w:pPr>
    </w:p>
    <w:p w:rsidR="002823CB" w:rsidRPr="003E6D23" w:rsidRDefault="002823CB" w:rsidP="002823CB">
      <w:pPr>
        <w:pStyle w:val="ListParagraph"/>
        <w:numPr>
          <w:ilvl w:val="0"/>
          <w:numId w:val="20"/>
        </w:numPr>
        <w:spacing w:before="240" w:line="360" w:lineRule="auto"/>
        <w:ind w:left="567" w:hanging="567"/>
        <w:jc w:val="both"/>
        <w:rPr>
          <w:rFonts w:ascii="Times New Roman" w:hAnsi="Times New Roman"/>
          <w:i/>
          <w:sz w:val="24"/>
          <w:szCs w:val="24"/>
        </w:rPr>
      </w:pPr>
      <w:r w:rsidRPr="00E12672">
        <w:rPr>
          <w:rFonts w:ascii="Times New Roman" w:hAnsi="Times New Roman"/>
          <w:b/>
          <w:smallCaps/>
          <w:sz w:val="24"/>
          <w:szCs w:val="24"/>
        </w:rPr>
        <w:t>Claims 2-8 are not an invention being method of treatment and  fall under section 3(</w:t>
      </w:r>
      <w:r w:rsidRPr="00E12672">
        <w:rPr>
          <w:rFonts w:ascii="Times New Roman" w:hAnsi="Times New Roman"/>
          <w:b/>
          <w:sz w:val="24"/>
          <w:szCs w:val="24"/>
        </w:rPr>
        <w:t>i</w:t>
      </w:r>
      <w:r w:rsidRPr="00E12672">
        <w:rPr>
          <w:rFonts w:ascii="Times New Roman" w:hAnsi="Times New Roman"/>
          <w:b/>
          <w:smallCaps/>
          <w:sz w:val="24"/>
          <w:szCs w:val="24"/>
        </w:rPr>
        <w:t>) and therefore ground under Section 25(2)(</w:t>
      </w:r>
      <w:r w:rsidRPr="00E12672">
        <w:rPr>
          <w:rFonts w:ascii="Times New Roman" w:hAnsi="Times New Roman"/>
          <w:b/>
          <w:sz w:val="24"/>
          <w:szCs w:val="24"/>
        </w:rPr>
        <w:t>f</w:t>
      </w:r>
      <w:r w:rsidRPr="00E12672">
        <w:rPr>
          <w:rFonts w:ascii="Times New Roman" w:hAnsi="Times New Roman"/>
          <w:b/>
          <w:smallCaps/>
          <w:sz w:val="24"/>
          <w:szCs w:val="24"/>
        </w:rPr>
        <w:t>) of the Patents Act is raised</w:t>
      </w:r>
    </w:p>
    <w:p w:rsidR="002823CB" w:rsidRPr="00E12672" w:rsidRDefault="002823CB" w:rsidP="002823CB">
      <w:pPr>
        <w:pStyle w:val="ListParagraph"/>
        <w:spacing w:before="240" w:line="360" w:lineRule="auto"/>
        <w:ind w:left="567"/>
        <w:jc w:val="both"/>
        <w:rPr>
          <w:rFonts w:ascii="Times New Roman" w:hAnsi="Times New Roman"/>
          <w:i/>
          <w:sz w:val="24"/>
          <w:szCs w:val="24"/>
        </w:rPr>
      </w:pP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Without prejudice to other grounds raised in this opposition, the Opponent states that certain claims fail for falling within the proscription of method of treatment claims.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Section 3(i) of the Patents Act provides that any process for the medicinal, surgical, curative, prophylactic, diagnostic, therapeutic or other treatment of human beings or any process for similar treatment of animals to render them free of disease or to increase their economic value or that of their products is not an invention within the meaning of the Patents Act. Section 25(2) (f) provides a ground for opposition if the subject of the claim is not an invention within the meaning of the Patents Act.</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 xml:space="preserve">Claims 2-8 of the present patent are drawn as claims to a method of treating HIV/AIDS by subcutaneous and intramuscular administration of the pharmaceutical composition of Claim 1 once a month, every two months, every three months or at an interval between 30 and 365 days. The fact that the claims are related to the administration of the drug indicates that they are drawn to a method of treatment. </w:t>
      </w:r>
    </w:p>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 xml:space="preserve">A method of treatment claim is </w:t>
      </w:r>
      <w:r w:rsidRPr="00E12672">
        <w:rPr>
          <w:rFonts w:ascii="Times New Roman" w:hAnsi="Times New Roman"/>
          <w:i/>
          <w:sz w:val="24"/>
          <w:szCs w:val="24"/>
        </w:rPr>
        <w:t>per se</w:t>
      </w:r>
      <w:r w:rsidRPr="00E12672">
        <w:rPr>
          <w:rFonts w:ascii="Times New Roman" w:hAnsi="Times New Roman"/>
          <w:sz w:val="24"/>
          <w:szCs w:val="24"/>
        </w:rPr>
        <w:t xml:space="preserve"> cannot be considered as an invention under section 3(i) of the Patents Act. Therefore, Claims 2-8 of the present patent should be revoked.</w:t>
      </w:r>
    </w:p>
    <w:p w:rsidR="002823CB" w:rsidRPr="00E12672" w:rsidRDefault="002823CB" w:rsidP="002823CB">
      <w:pPr>
        <w:pStyle w:val="ListParagraph"/>
        <w:spacing w:before="240" w:line="360" w:lineRule="auto"/>
        <w:ind w:left="567"/>
        <w:jc w:val="both"/>
        <w:rPr>
          <w:rFonts w:ascii="Times New Roman" w:hAnsi="Times New Roman"/>
          <w:i/>
          <w:sz w:val="24"/>
          <w:szCs w:val="24"/>
          <w:highlight w:val="yellow"/>
        </w:rPr>
      </w:pPr>
    </w:p>
    <w:p w:rsidR="002823CB" w:rsidRPr="00E12672" w:rsidRDefault="002823CB" w:rsidP="002823CB">
      <w:pPr>
        <w:pStyle w:val="ListParagraph"/>
        <w:numPr>
          <w:ilvl w:val="0"/>
          <w:numId w:val="20"/>
        </w:numPr>
        <w:spacing w:before="240" w:line="360" w:lineRule="auto"/>
        <w:ind w:left="567" w:hanging="567"/>
        <w:jc w:val="both"/>
        <w:rPr>
          <w:rFonts w:ascii="Times New Roman" w:hAnsi="Times New Roman"/>
          <w:i/>
          <w:sz w:val="24"/>
          <w:szCs w:val="24"/>
        </w:rPr>
      </w:pPr>
      <w:r w:rsidRPr="00E12672">
        <w:rPr>
          <w:rFonts w:ascii="Times New Roman" w:hAnsi="Times New Roman"/>
          <w:b/>
          <w:smallCaps/>
          <w:sz w:val="24"/>
          <w:szCs w:val="24"/>
        </w:rPr>
        <w:t>The complete specification does not sufficiently and clearly describe the in invention as claimed in claims 1-11 and therefore have to be rejected under section 25(2)(</w:t>
      </w:r>
      <w:r w:rsidRPr="00E12672">
        <w:rPr>
          <w:rFonts w:ascii="Times New Roman" w:hAnsi="Times New Roman"/>
          <w:b/>
          <w:sz w:val="24"/>
          <w:szCs w:val="24"/>
        </w:rPr>
        <w:t>g</w:t>
      </w:r>
      <w:r w:rsidRPr="00E12672">
        <w:rPr>
          <w:rFonts w:ascii="Times New Roman" w:hAnsi="Times New Roman"/>
          <w:b/>
          <w:smallCaps/>
          <w:sz w:val="24"/>
          <w:szCs w:val="24"/>
        </w:rPr>
        <w:t>) of the Patents Act</w:t>
      </w:r>
    </w:p>
    <w:p w:rsidR="002823CB" w:rsidRPr="00E12672" w:rsidRDefault="002823CB" w:rsidP="002823CB">
      <w:pPr>
        <w:pStyle w:val="ListParagraph"/>
        <w:numPr>
          <w:ilvl w:val="0"/>
          <w:numId w:val="3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Section 25(2) (g) of the Patents Act provides a ground for opposition if the complete specification does not sufficiently and clearly describe the invention or the method by which it is to be performed. </w:t>
      </w:r>
    </w:p>
    <w:p w:rsidR="002823CB" w:rsidRPr="00E12672" w:rsidRDefault="002823CB" w:rsidP="002823CB">
      <w:pPr>
        <w:pStyle w:val="ListParagraph"/>
        <w:numPr>
          <w:ilvl w:val="0"/>
          <w:numId w:val="3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Section 10(4) of the Patents Act requires the complete specification to fully and particularly describe the inventions and its operation or use.</w:t>
      </w:r>
    </w:p>
    <w:p w:rsidR="002823CB" w:rsidRPr="00E12672" w:rsidRDefault="002823CB" w:rsidP="002823CB">
      <w:pPr>
        <w:pStyle w:val="ListParagraph"/>
        <w:numPr>
          <w:ilvl w:val="0"/>
          <w:numId w:val="3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Without prejudice to other grounds raised herein the Opponent opposes the claims 1-11 of the present patent under Section 25(2) (g). </w:t>
      </w:r>
    </w:p>
    <w:p w:rsidR="002823CB" w:rsidRPr="00E12672" w:rsidRDefault="002823CB" w:rsidP="002823CB">
      <w:pPr>
        <w:pStyle w:val="ListParagraph"/>
        <w:numPr>
          <w:ilvl w:val="0"/>
          <w:numId w:val="3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Claims 1-11 in the claims and Complete Specification of the present patent do not sufficiently define the invention as the synergistic effect or the therapeutic effect of the claimed composition is not fully disclosed. </w:t>
      </w:r>
    </w:p>
    <w:p w:rsidR="002823CB" w:rsidRPr="00E12672" w:rsidRDefault="002823CB" w:rsidP="002823CB">
      <w:pPr>
        <w:pStyle w:val="ListParagraph"/>
        <w:numPr>
          <w:ilvl w:val="0"/>
          <w:numId w:val="3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Further, Claim 1 also does not provide details of the particular weight of the components used in the claimed composition. In fact, the patentee has failed to disclose why it particularly uses polysorbate or polyethylene glycol in the claimed composition. </w:t>
      </w:r>
    </w:p>
    <w:p w:rsidR="002823CB" w:rsidRPr="00E12672" w:rsidRDefault="002823CB" w:rsidP="002823CB">
      <w:pPr>
        <w:pStyle w:val="ListParagraph"/>
        <w:numPr>
          <w:ilvl w:val="0"/>
          <w:numId w:val="3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Further, the patentee fails to identify the particular muscle where the claimed composition has to be administered. </w:t>
      </w:r>
    </w:p>
    <w:p w:rsidR="002823CB" w:rsidRPr="00E12672" w:rsidRDefault="002823CB" w:rsidP="002823CB">
      <w:pPr>
        <w:pStyle w:val="ListParagraph"/>
        <w:numPr>
          <w:ilvl w:val="0"/>
          <w:numId w:val="3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Claim 11 of the present patent claims a composition of claim 1 that can be terminally sterilized by gamma irradiation. The patentee has failed to disclose the source of such gamma irradiation and also not described the gamma radiation dose rate required in this process.</w:t>
      </w:r>
    </w:p>
    <w:p w:rsidR="002823CB" w:rsidRPr="00E12672" w:rsidRDefault="002823CB" w:rsidP="002823CB">
      <w:pPr>
        <w:pStyle w:val="ListParagraph"/>
        <w:numPr>
          <w:ilvl w:val="0"/>
          <w:numId w:val="34"/>
        </w:numPr>
        <w:spacing w:before="24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As such, the Complete Specification does not sufficiently and clearly describe the invention or its properties as claimed in Claims 1 to 11 of the present patent. Therefore claims 1-11 of the present patent should be revoked. </w:t>
      </w:r>
    </w:p>
    <w:p w:rsidR="002823CB" w:rsidRPr="00B15C61" w:rsidRDefault="002823CB" w:rsidP="002823CB">
      <w:pPr>
        <w:spacing w:before="240" w:line="360" w:lineRule="auto"/>
        <w:ind w:left="567" w:right="720" w:hanging="567"/>
        <w:jc w:val="both"/>
        <w:rPr>
          <w:rFonts w:ascii="Times New Roman" w:hAnsi="Times New Roman"/>
          <w:i/>
          <w:sz w:val="24"/>
          <w:szCs w:val="24"/>
        </w:rPr>
      </w:pPr>
      <w:r>
        <w:rPr>
          <w:rFonts w:ascii="Times New Roman" w:hAnsi="Times New Roman"/>
          <w:b/>
          <w:smallCaps/>
          <w:sz w:val="24"/>
          <w:szCs w:val="24"/>
        </w:rPr>
        <w:lastRenderedPageBreak/>
        <w:t xml:space="preserve">VII.6 </w:t>
      </w:r>
      <w:r w:rsidRPr="00B15C61">
        <w:rPr>
          <w:rFonts w:ascii="Times New Roman" w:hAnsi="Times New Roman"/>
          <w:b/>
          <w:smallCaps/>
          <w:sz w:val="24"/>
          <w:szCs w:val="24"/>
        </w:rPr>
        <w:t xml:space="preserve">The Patentee has not complied with the requirements of Section 8. Therefore, the present patent </w:t>
      </w:r>
      <w:proofErr w:type="gramStart"/>
      <w:r w:rsidRPr="00B15C61">
        <w:rPr>
          <w:rFonts w:ascii="Times New Roman" w:hAnsi="Times New Roman"/>
          <w:b/>
          <w:smallCaps/>
          <w:sz w:val="24"/>
          <w:szCs w:val="24"/>
        </w:rPr>
        <w:t>have</w:t>
      </w:r>
      <w:proofErr w:type="gramEnd"/>
      <w:r w:rsidRPr="00B15C61">
        <w:rPr>
          <w:rFonts w:ascii="Times New Roman" w:hAnsi="Times New Roman"/>
          <w:b/>
          <w:smallCaps/>
          <w:sz w:val="24"/>
          <w:szCs w:val="24"/>
        </w:rPr>
        <w:t xml:space="preserve"> to be rejected under Section 25(2) (</w:t>
      </w:r>
      <w:r w:rsidRPr="00B15C61">
        <w:rPr>
          <w:rFonts w:ascii="Times New Roman" w:hAnsi="Times New Roman"/>
          <w:b/>
          <w:sz w:val="24"/>
          <w:szCs w:val="24"/>
        </w:rPr>
        <w:t>h</w:t>
      </w:r>
      <w:r w:rsidRPr="00B15C61">
        <w:rPr>
          <w:rFonts w:ascii="Times New Roman" w:hAnsi="Times New Roman"/>
          <w:b/>
          <w:smallCaps/>
          <w:sz w:val="24"/>
          <w:szCs w:val="24"/>
        </w:rPr>
        <w:t>) of the Patents Act</w:t>
      </w:r>
    </w:p>
    <w:p w:rsidR="002823CB" w:rsidRPr="00E12672" w:rsidRDefault="002823CB" w:rsidP="002823CB">
      <w:pPr>
        <w:pStyle w:val="ListParagraph"/>
        <w:numPr>
          <w:ilvl w:val="0"/>
          <w:numId w:val="4"/>
        </w:numPr>
        <w:spacing w:before="240" w:line="360" w:lineRule="auto"/>
        <w:ind w:left="567" w:right="720" w:hanging="567"/>
        <w:jc w:val="both"/>
        <w:rPr>
          <w:rFonts w:ascii="Times New Roman" w:hAnsi="Times New Roman"/>
          <w:i/>
          <w:sz w:val="24"/>
          <w:szCs w:val="24"/>
        </w:rPr>
      </w:pPr>
      <w:r w:rsidRPr="00E12672">
        <w:rPr>
          <w:rFonts w:ascii="Times New Roman" w:hAnsi="Times New Roman"/>
          <w:sz w:val="24"/>
          <w:szCs w:val="24"/>
        </w:rPr>
        <w:t xml:space="preserve">Section 25(2) (h) of the Patents Act provides a ground for opposition if the Patentee has not furnished information required under Section 8 of the Patents Act, within the time prescribed by law. </w:t>
      </w:r>
    </w:p>
    <w:p w:rsidR="002823CB" w:rsidRPr="00E12672" w:rsidRDefault="002823CB" w:rsidP="002823CB">
      <w:pPr>
        <w:pStyle w:val="ListParagraph"/>
        <w:numPr>
          <w:ilvl w:val="0"/>
          <w:numId w:val="4"/>
        </w:numPr>
        <w:spacing w:before="240" w:line="360" w:lineRule="auto"/>
        <w:ind w:left="567" w:right="720" w:hanging="567"/>
        <w:jc w:val="both"/>
        <w:rPr>
          <w:rFonts w:ascii="Times New Roman" w:hAnsi="Times New Roman"/>
          <w:i/>
          <w:sz w:val="24"/>
          <w:szCs w:val="24"/>
        </w:rPr>
      </w:pPr>
      <w:r w:rsidRPr="00E12672">
        <w:rPr>
          <w:rFonts w:ascii="Times New Roman" w:hAnsi="Times New Roman"/>
          <w:sz w:val="24"/>
          <w:szCs w:val="24"/>
        </w:rPr>
        <w:t>Without prejudice to other grounds raised in this opposition, the Opponent raises the ground of opposition under Section 25(2) (h) of the Patents Act citing that the Patentee has not complied with the mandatory requirement of submitting information under section 8.</w:t>
      </w:r>
    </w:p>
    <w:p w:rsidR="002823CB" w:rsidRPr="001E3C79" w:rsidRDefault="002823CB" w:rsidP="002823CB">
      <w:pPr>
        <w:pStyle w:val="ListParagraph"/>
        <w:numPr>
          <w:ilvl w:val="0"/>
          <w:numId w:val="4"/>
        </w:numPr>
        <w:spacing w:before="240" w:line="360" w:lineRule="auto"/>
        <w:ind w:left="567" w:right="720" w:hanging="567"/>
        <w:jc w:val="both"/>
        <w:rPr>
          <w:rFonts w:ascii="Times New Roman" w:hAnsi="Times New Roman"/>
          <w:i/>
          <w:sz w:val="24"/>
          <w:szCs w:val="24"/>
        </w:rPr>
      </w:pPr>
      <w:r w:rsidRPr="00E12672">
        <w:rPr>
          <w:rFonts w:ascii="Times New Roman" w:hAnsi="Times New Roman"/>
          <w:sz w:val="24"/>
          <w:szCs w:val="24"/>
        </w:rPr>
        <w:t xml:space="preserve">Section 8 of the Patents Act read with rule 12(1) of the Patents Rules, 2014 requires, </w:t>
      </w:r>
      <w:r w:rsidRPr="00E12672">
        <w:rPr>
          <w:rFonts w:ascii="Times New Roman" w:hAnsi="Times New Roman"/>
          <w:i/>
          <w:sz w:val="24"/>
          <w:szCs w:val="24"/>
        </w:rPr>
        <w:t>inter alia</w:t>
      </w:r>
      <w:r w:rsidRPr="00E12672">
        <w:rPr>
          <w:rFonts w:ascii="Times New Roman" w:hAnsi="Times New Roman"/>
          <w:sz w:val="24"/>
          <w:szCs w:val="24"/>
        </w:rPr>
        <w:t>, a patent applicant, who is prosecuting, either alone or jointly with any other person, an application for a patent in any country outside India in respect of the same or substantially the same invention, to file a statement setting out the particulars of such application (Form 3) within six months of the date of filing of such application in India. This is done by filing Form 3 as prescribed by the Patents Rules. The Patent Applicant is also required to keep the Hon’ble Patent Controller informed of the developments of the corresponding or similar patent applications in other jurisdictions.</w:t>
      </w:r>
    </w:p>
    <w:p w:rsidR="002823CB" w:rsidRPr="003E6D23" w:rsidRDefault="002823CB" w:rsidP="002823CB">
      <w:pPr>
        <w:pStyle w:val="ListParagraph"/>
        <w:numPr>
          <w:ilvl w:val="0"/>
          <w:numId w:val="4"/>
        </w:numPr>
        <w:spacing w:before="240" w:line="360" w:lineRule="auto"/>
        <w:ind w:left="567" w:right="720" w:hanging="567"/>
        <w:jc w:val="both"/>
        <w:rPr>
          <w:rFonts w:ascii="Times New Roman" w:hAnsi="Times New Roman"/>
          <w:i/>
          <w:sz w:val="24"/>
          <w:szCs w:val="24"/>
        </w:rPr>
      </w:pPr>
      <w:r w:rsidRPr="001E3C79">
        <w:rPr>
          <w:rFonts w:ascii="Times New Roman" w:hAnsi="Times New Roman"/>
          <w:sz w:val="24"/>
          <w:szCs w:val="24"/>
        </w:rPr>
        <w:t xml:space="preserve">The prosecution history for the present patent shows that the Patentee had filed Form 3 on 03.10.2018 and listed only the selected applications filed in other countries. It may be noted that the particulars of the following application was not set out in Form 3. The details of the said application are as follows: </w:t>
      </w:r>
    </w:p>
    <w:p w:rsidR="002823CB" w:rsidRDefault="002823CB" w:rsidP="002823CB">
      <w:pPr>
        <w:spacing w:before="240" w:line="360" w:lineRule="auto"/>
        <w:ind w:right="720"/>
        <w:jc w:val="both"/>
        <w:rPr>
          <w:rFonts w:ascii="Times New Roman" w:hAnsi="Times New Roman"/>
          <w:i/>
          <w:sz w:val="24"/>
          <w:szCs w:val="24"/>
        </w:rPr>
      </w:pPr>
    </w:p>
    <w:p w:rsidR="002823CB" w:rsidRPr="003E6D23" w:rsidRDefault="002823CB" w:rsidP="002823CB">
      <w:pPr>
        <w:spacing w:before="240" w:line="360" w:lineRule="auto"/>
        <w:ind w:right="720"/>
        <w:jc w:val="both"/>
        <w:rPr>
          <w:rFonts w:ascii="Times New Roman" w:hAnsi="Times New Roman"/>
          <w:i/>
          <w:sz w:val="24"/>
          <w:szCs w:val="24"/>
        </w:rPr>
      </w:pPr>
    </w:p>
    <w:tbl>
      <w:tblPr>
        <w:tblW w:w="3289" w:type="pct"/>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976"/>
      </w:tblGrid>
      <w:tr w:rsidR="002823CB" w:rsidRPr="00E12672" w:rsidTr="002720A3">
        <w:trPr>
          <w:tblHeader/>
        </w:trPr>
        <w:tc>
          <w:tcPr>
            <w:tcW w:w="2226" w:type="pct"/>
            <w:shd w:val="clear" w:color="auto" w:fill="auto"/>
          </w:tcPr>
          <w:p w:rsidR="002823CB" w:rsidRPr="00E12672" w:rsidRDefault="002823CB" w:rsidP="002720A3">
            <w:pPr>
              <w:spacing w:before="240" w:line="360" w:lineRule="auto"/>
              <w:jc w:val="center"/>
              <w:rPr>
                <w:rFonts w:ascii="Times New Roman" w:hAnsi="Times New Roman"/>
                <w:b/>
                <w:sz w:val="24"/>
                <w:szCs w:val="24"/>
              </w:rPr>
            </w:pPr>
            <w:r w:rsidRPr="00E12672">
              <w:rPr>
                <w:rFonts w:ascii="Times New Roman" w:hAnsi="Times New Roman"/>
                <w:b/>
                <w:sz w:val="24"/>
                <w:szCs w:val="24"/>
              </w:rPr>
              <w:lastRenderedPageBreak/>
              <w:t>Country</w:t>
            </w:r>
          </w:p>
        </w:tc>
        <w:tc>
          <w:tcPr>
            <w:tcW w:w="2774" w:type="pct"/>
            <w:shd w:val="clear" w:color="auto" w:fill="auto"/>
          </w:tcPr>
          <w:p w:rsidR="002823CB" w:rsidRPr="00E12672" w:rsidRDefault="002823CB" w:rsidP="002720A3">
            <w:pPr>
              <w:spacing w:before="240" w:line="360" w:lineRule="auto"/>
              <w:jc w:val="center"/>
              <w:rPr>
                <w:rFonts w:ascii="Times New Roman" w:hAnsi="Times New Roman"/>
                <w:b/>
                <w:sz w:val="24"/>
                <w:szCs w:val="24"/>
              </w:rPr>
            </w:pPr>
            <w:r w:rsidRPr="00E12672">
              <w:rPr>
                <w:rFonts w:ascii="Times New Roman" w:hAnsi="Times New Roman"/>
                <w:b/>
                <w:sz w:val="24"/>
                <w:szCs w:val="24"/>
              </w:rPr>
              <w:t>Application Number</w:t>
            </w:r>
          </w:p>
        </w:tc>
      </w:tr>
      <w:tr w:rsidR="002823CB" w:rsidRPr="00E12672" w:rsidTr="002720A3">
        <w:tc>
          <w:tcPr>
            <w:tcW w:w="2226" w:type="pct"/>
            <w:shd w:val="clear" w:color="auto" w:fill="auto"/>
          </w:tcPr>
          <w:p w:rsidR="002823CB" w:rsidRPr="00E12672" w:rsidRDefault="002823CB" w:rsidP="002720A3">
            <w:pPr>
              <w:spacing w:before="240" w:line="360" w:lineRule="auto"/>
              <w:rPr>
                <w:rFonts w:ascii="Times New Roman" w:hAnsi="Times New Roman"/>
                <w:sz w:val="24"/>
                <w:szCs w:val="24"/>
              </w:rPr>
            </w:pPr>
            <w:r w:rsidRPr="00E12672">
              <w:rPr>
                <w:rFonts w:ascii="Times New Roman" w:hAnsi="Times New Roman"/>
                <w:sz w:val="24"/>
                <w:szCs w:val="24"/>
              </w:rPr>
              <w:t>Republic of Korea</w:t>
            </w:r>
          </w:p>
        </w:tc>
        <w:tc>
          <w:tcPr>
            <w:tcW w:w="2774" w:type="pct"/>
            <w:shd w:val="clear" w:color="auto" w:fill="auto"/>
          </w:tcPr>
          <w:p w:rsidR="002823CB" w:rsidRPr="00E12672" w:rsidRDefault="002823CB" w:rsidP="002720A3">
            <w:pPr>
              <w:spacing w:before="240" w:line="360" w:lineRule="auto"/>
              <w:rPr>
                <w:rFonts w:ascii="Times New Roman" w:hAnsi="Times New Roman"/>
                <w:sz w:val="24"/>
                <w:szCs w:val="24"/>
              </w:rPr>
            </w:pPr>
            <w:r w:rsidRPr="00E12672">
              <w:rPr>
                <w:rFonts w:ascii="Times New Roman" w:hAnsi="Times New Roman"/>
                <w:sz w:val="24"/>
                <w:szCs w:val="24"/>
              </w:rPr>
              <w:t>1020137009569</w:t>
            </w:r>
          </w:p>
        </w:tc>
      </w:tr>
    </w:tbl>
    <w:p w:rsidR="002823CB" w:rsidRPr="00E12672" w:rsidRDefault="002823CB" w:rsidP="002823CB">
      <w:pPr>
        <w:pStyle w:val="ListParagraph"/>
        <w:numPr>
          <w:ilvl w:val="0"/>
          <w:numId w:val="4"/>
        </w:numPr>
        <w:spacing w:before="240" w:line="360" w:lineRule="auto"/>
        <w:ind w:left="567" w:hanging="567"/>
        <w:jc w:val="both"/>
        <w:rPr>
          <w:rFonts w:ascii="Times New Roman" w:hAnsi="Times New Roman"/>
          <w:i/>
          <w:sz w:val="24"/>
          <w:szCs w:val="24"/>
        </w:rPr>
      </w:pPr>
      <w:r w:rsidRPr="00E12672">
        <w:rPr>
          <w:rFonts w:ascii="Times New Roman" w:hAnsi="Times New Roman"/>
          <w:sz w:val="24"/>
          <w:szCs w:val="24"/>
        </w:rPr>
        <w:t>Therefore, as the Patentee has not complied with the requirements of section 8 of the Patents Act, the claims of the present patent should be revoked.</w:t>
      </w:r>
    </w:p>
    <w:p w:rsidR="002823CB" w:rsidRPr="00E12672" w:rsidRDefault="002823CB" w:rsidP="002823CB">
      <w:pPr>
        <w:pStyle w:val="ListParagraph"/>
        <w:spacing w:before="240" w:line="360" w:lineRule="auto"/>
        <w:ind w:left="567"/>
        <w:jc w:val="both"/>
        <w:rPr>
          <w:rFonts w:ascii="Times New Roman" w:hAnsi="Times New Roman"/>
          <w:i/>
          <w:sz w:val="24"/>
          <w:szCs w:val="24"/>
        </w:rPr>
      </w:pPr>
    </w:p>
    <w:p w:rsidR="002823CB" w:rsidRPr="00E12672" w:rsidRDefault="002823CB" w:rsidP="002823CB">
      <w:pPr>
        <w:pStyle w:val="ListParagraph"/>
        <w:numPr>
          <w:ilvl w:val="0"/>
          <w:numId w:val="1"/>
        </w:numPr>
        <w:spacing w:before="240" w:line="360" w:lineRule="auto"/>
        <w:ind w:left="567" w:right="720" w:hanging="567"/>
        <w:jc w:val="both"/>
        <w:rPr>
          <w:rFonts w:ascii="Times New Roman" w:hAnsi="Times New Roman"/>
          <w:b/>
          <w:smallCaps/>
          <w:sz w:val="24"/>
          <w:szCs w:val="24"/>
        </w:rPr>
      </w:pPr>
      <w:r w:rsidRPr="00E12672">
        <w:rPr>
          <w:rFonts w:ascii="Times New Roman" w:hAnsi="Times New Roman"/>
          <w:b/>
          <w:smallCaps/>
          <w:sz w:val="24"/>
          <w:szCs w:val="24"/>
        </w:rPr>
        <w:t>Prayer for relief</w:t>
      </w:r>
    </w:p>
    <w:p w:rsidR="002823CB" w:rsidRPr="00E12672" w:rsidRDefault="002823CB" w:rsidP="002823CB">
      <w:pPr>
        <w:pStyle w:val="ListParagraph"/>
        <w:numPr>
          <w:ilvl w:val="0"/>
          <w:numId w:val="4"/>
        </w:numPr>
        <w:spacing w:before="240" w:after="0" w:line="360" w:lineRule="auto"/>
        <w:ind w:left="567" w:hanging="567"/>
        <w:jc w:val="both"/>
        <w:rPr>
          <w:rFonts w:ascii="Times New Roman" w:hAnsi="Times New Roman"/>
          <w:sz w:val="24"/>
          <w:szCs w:val="24"/>
        </w:rPr>
      </w:pPr>
      <w:r w:rsidRPr="00E12672">
        <w:rPr>
          <w:rFonts w:ascii="Times New Roman" w:hAnsi="Times New Roman"/>
          <w:sz w:val="24"/>
          <w:szCs w:val="24"/>
        </w:rPr>
        <w:t xml:space="preserve">In view of the above said references Opponent prays as follows: </w:t>
      </w:r>
    </w:p>
    <w:p w:rsidR="002823CB" w:rsidRPr="00E12672" w:rsidRDefault="002823CB" w:rsidP="002823CB">
      <w:pPr>
        <w:pStyle w:val="ListParagraph"/>
        <w:numPr>
          <w:ilvl w:val="1"/>
          <w:numId w:val="4"/>
        </w:numPr>
        <w:spacing w:before="240" w:after="0" w:line="360" w:lineRule="auto"/>
        <w:ind w:left="1134"/>
        <w:jc w:val="both"/>
        <w:rPr>
          <w:rFonts w:ascii="Times New Roman" w:hAnsi="Times New Roman"/>
          <w:sz w:val="24"/>
          <w:szCs w:val="24"/>
        </w:rPr>
      </w:pPr>
      <w:r w:rsidRPr="00E12672">
        <w:rPr>
          <w:rFonts w:ascii="Times New Roman" w:hAnsi="Times New Roman"/>
          <w:sz w:val="24"/>
          <w:szCs w:val="24"/>
        </w:rPr>
        <w:t>To be heard and be allowed to lead evidence (documentary and oral) before any order is passed;</w:t>
      </w:r>
    </w:p>
    <w:p w:rsidR="002823CB" w:rsidRPr="00E12672" w:rsidRDefault="002823CB" w:rsidP="002823CB">
      <w:pPr>
        <w:pStyle w:val="ListParagraph"/>
        <w:numPr>
          <w:ilvl w:val="1"/>
          <w:numId w:val="4"/>
        </w:numPr>
        <w:spacing w:before="240" w:line="360" w:lineRule="auto"/>
        <w:ind w:left="1134"/>
        <w:rPr>
          <w:rFonts w:ascii="Times New Roman" w:hAnsi="Times New Roman"/>
          <w:b/>
          <w:sz w:val="24"/>
          <w:szCs w:val="24"/>
        </w:rPr>
      </w:pPr>
      <w:r w:rsidRPr="00E12672">
        <w:rPr>
          <w:rFonts w:ascii="Times New Roman" w:hAnsi="Times New Roman"/>
          <w:sz w:val="24"/>
          <w:szCs w:val="24"/>
        </w:rPr>
        <w:t>For an order revoking Claims 1-11 of the present patent for lack of inventive step under Section 2(1)(ja) of the Patents Act;</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For an order revoking Claims 1-11 of the present patent as the subject matter of these claims is not an invention within the meaning of Patents Act under Section 3(d) of the Patents Act;</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For an order revoking Claims 1-11 of the present patent as the subject matter of these claims is not an invention within the meaning of Patents Act under Section 3(e) of the Patents Act;</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For an order revoking Claims 1-11 of the present patent as the subject matter of these claims is not an invention within the meaning of Patents Act under Section 3(i) of the Patents Act;</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 xml:space="preserve">For an order revoking Claims 1-11 of the present patent as the invention claimed therein is </w:t>
      </w:r>
      <w:r w:rsidRPr="00E12672">
        <w:rPr>
          <w:rFonts w:ascii="Times New Roman" w:hAnsi="Times New Roman"/>
          <w:sz w:val="24"/>
          <w:szCs w:val="24"/>
          <w:lang w:eastAsia="en-IN"/>
        </w:rPr>
        <w:t>insufficiently described ;</w:t>
      </w:r>
      <w:r w:rsidRPr="00E12672">
        <w:rPr>
          <w:rFonts w:ascii="Times New Roman" w:hAnsi="Times New Roman"/>
          <w:sz w:val="24"/>
          <w:szCs w:val="24"/>
        </w:rPr>
        <w:t xml:space="preserve"> </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For an order revoking claims 1-11 of the present patent for the Patentee’s failure to comply with the requirements of section 8 of the Patents Act;</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For a copy of any reply statement and evidence that may be filed by the Patentee and a further opportunity to file a rejoinder and rebut the same;</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lastRenderedPageBreak/>
        <w:t>For leave to amend the opposition and / or raise further grounds and file further documents or evidence, as and when required;</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To allow the Opponent to make further submissions in case the patentee amends the claims;</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For a hearing under Rule 62 of the Patents Rules;</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For costs;</w:t>
      </w:r>
    </w:p>
    <w:p w:rsidR="002823CB" w:rsidRPr="00E12672" w:rsidRDefault="002823CB" w:rsidP="002823CB">
      <w:pPr>
        <w:pStyle w:val="ListParagraph"/>
        <w:numPr>
          <w:ilvl w:val="1"/>
          <w:numId w:val="4"/>
        </w:numPr>
        <w:spacing w:before="240" w:line="360" w:lineRule="auto"/>
        <w:ind w:left="1134"/>
        <w:jc w:val="both"/>
        <w:rPr>
          <w:rFonts w:ascii="Times New Roman" w:hAnsi="Times New Roman"/>
          <w:b/>
          <w:sz w:val="24"/>
          <w:szCs w:val="24"/>
        </w:rPr>
      </w:pPr>
      <w:r w:rsidRPr="00E12672">
        <w:rPr>
          <w:rFonts w:ascii="Times New Roman" w:hAnsi="Times New Roman"/>
          <w:sz w:val="24"/>
          <w:szCs w:val="24"/>
        </w:rPr>
        <w:t xml:space="preserve">For such further and other orders as may become necessary in the facts and circumstances of the case or in the interest of justice, equity and good conscience. </w:t>
      </w:r>
    </w:p>
    <w:p w:rsidR="002823CB" w:rsidRDefault="002823CB" w:rsidP="002823CB">
      <w:pPr>
        <w:pStyle w:val="ListParagraph"/>
        <w:spacing w:before="240" w:line="360" w:lineRule="auto"/>
        <w:ind w:left="1170" w:right="720"/>
        <w:jc w:val="both"/>
        <w:rPr>
          <w:rFonts w:ascii="Times New Roman" w:hAnsi="Times New Roman"/>
          <w:b/>
          <w:sz w:val="24"/>
          <w:szCs w:val="24"/>
        </w:rPr>
      </w:pPr>
    </w:p>
    <w:p w:rsidR="002823CB" w:rsidRDefault="002823CB" w:rsidP="002823CB">
      <w:pPr>
        <w:pStyle w:val="ListParagraph"/>
        <w:spacing w:before="240" w:line="360" w:lineRule="auto"/>
        <w:ind w:left="1170" w:right="720"/>
        <w:jc w:val="both"/>
        <w:rPr>
          <w:rFonts w:ascii="Times New Roman" w:hAnsi="Times New Roman"/>
          <w:b/>
          <w:sz w:val="24"/>
          <w:szCs w:val="24"/>
        </w:rPr>
      </w:pPr>
    </w:p>
    <w:p w:rsidR="002823CB" w:rsidRPr="00E12672" w:rsidRDefault="002823CB" w:rsidP="002823CB">
      <w:pPr>
        <w:pStyle w:val="ListParagraph"/>
        <w:spacing w:before="240" w:line="360" w:lineRule="auto"/>
        <w:ind w:left="0" w:right="720"/>
        <w:jc w:val="both"/>
        <w:rPr>
          <w:rFonts w:ascii="Times New Roman" w:hAnsi="Times New Roman"/>
          <w:b/>
          <w:sz w:val="24"/>
          <w:szCs w:val="24"/>
        </w:rPr>
      </w:pPr>
      <w:r>
        <w:rPr>
          <w:rFonts w:ascii="Times New Roman" w:hAnsi="Times New Roman"/>
          <w:b/>
          <w:sz w:val="24"/>
          <w:szCs w:val="24"/>
        </w:rPr>
        <w:t>Dated this 29</w:t>
      </w:r>
      <w:r w:rsidRPr="001F0DB4">
        <w:rPr>
          <w:rFonts w:ascii="Times New Roman" w:hAnsi="Times New Roman"/>
          <w:b/>
          <w:sz w:val="24"/>
          <w:szCs w:val="24"/>
          <w:vertAlign w:val="superscript"/>
        </w:rPr>
        <w:t>th</w:t>
      </w:r>
      <w:r>
        <w:rPr>
          <w:rFonts w:ascii="Times New Roman" w:hAnsi="Times New Roman"/>
          <w:b/>
          <w:sz w:val="24"/>
          <w:szCs w:val="24"/>
        </w:rPr>
        <w:t xml:space="preserve"> day of November</w:t>
      </w:r>
    </w:p>
    <w:p w:rsidR="002823CB" w:rsidRDefault="002823CB" w:rsidP="002823CB">
      <w:pPr>
        <w:pStyle w:val="BodyText"/>
        <w:spacing w:before="240" w:after="200" w:line="360" w:lineRule="auto"/>
        <w:ind w:left="720" w:right="720"/>
        <w:jc w:val="right"/>
        <w:rPr>
          <w:rFonts w:ascii="Times New Roman" w:hAnsi="Times New Roman"/>
          <w:b/>
          <w:bCs/>
          <w:iCs/>
          <w:sz w:val="24"/>
          <w:szCs w:val="24"/>
        </w:rPr>
      </w:pPr>
      <w:r>
        <w:rPr>
          <w:rFonts w:ascii="Times New Roman" w:hAnsi="Times New Roman"/>
          <w:b/>
          <w:bCs/>
          <w:iCs/>
          <w:sz w:val="24"/>
          <w:szCs w:val="24"/>
        </w:rPr>
        <w:t>Counsel for the Opponent</w:t>
      </w:r>
    </w:p>
    <w:p w:rsidR="002823CB" w:rsidRDefault="002823CB" w:rsidP="002823CB">
      <w:pPr>
        <w:pStyle w:val="BodyText"/>
        <w:spacing w:after="0" w:line="360" w:lineRule="auto"/>
        <w:ind w:right="720"/>
        <w:rPr>
          <w:rFonts w:ascii="Times New Roman" w:hAnsi="Times New Roman"/>
          <w:bCs/>
          <w:iCs/>
          <w:sz w:val="24"/>
          <w:szCs w:val="24"/>
        </w:rPr>
      </w:pPr>
      <w:r>
        <w:rPr>
          <w:rFonts w:ascii="Times New Roman" w:hAnsi="Times New Roman"/>
          <w:bCs/>
          <w:iCs/>
          <w:sz w:val="24"/>
          <w:szCs w:val="24"/>
        </w:rPr>
        <w:t>TO THE CONTROLLER OF PATENTS</w:t>
      </w:r>
    </w:p>
    <w:p w:rsidR="002823CB" w:rsidRPr="001F0DB4" w:rsidRDefault="002823CB" w:rsidP="002823CB">
      <w:pPr>
        <w:pStyle w:val="BodyText"/>
        <w:spacing w:after="0" w:line="360" w:lineRule="auto"/>
        <w:ind w:right="720"/>
        <w:rPr>
          <w:rFonts w:ascii="Times New Roman" w:hAnsi="Times New Roman"/>
          <w:bCs/>
          <w:iCs/>
          <w:sz w:val="24"/>
          <w:szCs w:val="24"/>
        </w:rPr>
      </w:pPr>
      <w:r>
        <w:rPr>
          <w:rFonts w:ascii="Times New Roman" w:hAnsi="Times New Roman"/>
          <w:bCs/>
          <w:iCs/>
          <w:sz w:val="24"/>
          <w:szCs w:val="24"/>
        </w:rPr>
        <w:t>PATENT OFFICE, KOLKATA</w:t>
      </w:r>
    </w:p>
    <w:p w:rsidR="002823CB" w:rsidRPr="00E12672" w:rsidRDefault="002823CB" w:rsidP="002823CB">
      <w:pPr>
        <w:pStyle w:val="ListParagraph"/>
        <w:spacing w:before="240" w:line="360" w:lineRule="auto"/>
        <w:ind w:right="720"/>
        <w:rPr>
          <w:rFonts w:ascii="Times New Roman" w:hAnsi="Times New Roman"/>
          <w:sz w:val="24"/>
          <w:szCs w:val="24"/>
        </w:rPr>
      </w:pPr>
      <w:r w:rsidRPr="00E12672">
        <w:rPr>
          <w:rFonts w:ascii="Times New Roman" w:hAnsi="Times New Roman"/>
          <w:b/>
          <w:bCs/>
          <w:i/>
          <w:iCs/>
          <w:sz w:val="24"/>
          <w:szCs w:val="24"/>
        </w:rPr>
        <w:tab/>
      </w:r>
      <w:r w:rsidRPr="00E12672">
        <w:rPr>
          <w:rFonts w:ascii="Times New Roman" w:hAnsi="Times New Roman"/>
          <w:b/>
          <w:bCs/>
          <w:i/>
          <w:iCs/>
          <w:sz w:val="24"/>
          <w:szCs w:val="24"/>
        </w:rPr>
        <w:tab/>
      </w:r>
      <w:r w:rsidRPr="00E12672">
        <w:rPr>
          <w:rFonts w:ascii="Times New Roman" w:hAnsi="Times New Roman"/>
          <w:b/>
          <w:bCs/>
          <w:i/>
          <w:iCs/>
          <w:sz w:val="24"/>
          <w:szCs w:val="24"/>
        </w:rPr>
        <w:tab/>
      </w:r>
      <w:r w:rsidRPr="00E12672">
        <w:rPr>
          <w:rFonts w:ascii="Times New Roman" w:hAnsi="Times New Roman"/>
          <w:b/>
          <w:bCs/>
          <w:i/>
          <w:iCs/>
          <w:sz w:val="24"/>
          <w:szCs w:val="24"/>
        </w:rPr>
        <w:tab/>
      </w:r>
      <w:r w:rsidRPr="00E12672">
        <w:rPr>
          <w:rFonts w:ascii="Times New Roman" w:hAnsi="Times New Roman"/>
          <w:sz w:val="24"/>
          <w:szCs w:val="24"/>
          <w:lang w:eastAsia="en-IN"/>
        </w:rPr>
        <w:t xml:space="preserve"> </w:t>
      </w:r>
    </w:p>
    <w:p w:rsidR="002823CB" w:rsidRPr="00E12672" w:rsidRDefault="002823CB" w:rsidP="002823CB">
      <w:pPr>
        <w:spacing w:before="240" w:line="360" w:lineRule="auto"/>
        <w:ind w:left="720" w:right="720"/>
        <w:jc w:val="both"/>
        <w:rPr>
          <w:rFonts w:ascii="Times New Roman" w:hAnsi="Times New Roman"/>
          <w:b/>
          <w:sz w:val="24"/>
          <w:szCs w:val="24"/>
        </w:rPr>
      </w:pPr>
    </w:p>
    <w:p w:rsidR="002823CB" w:rsidRPr="00E12672" w:rsidRDefault="002823CB" w:rsidP="002823CB">
      <w:pPr>
        <w:spacing w:before="240" w:line="360" w:lineRule="auto"/>
        <w:ind w:left="720" w:right="720"/>
        <w:jc w:val="both"/>
        <w:rPr>
          <w:rFonts w:ascii="Times New Roman" w:hAnsi="Times New Roman"/>
          <w:b/>
          <w:sz w:val="24"/>
          <w:szCs w:val="24"/>
        </w:rPr>
      </w:pPr>
    </w:p>
    <w:p w:rsidR="002823CB" w:rsidRPr="00E12672" w:rsidRDefault="002823CB" w:rsidP="002823CB">
      <w:pPr>
        <w:rPr>
          <w:rFonts w:ascii="Times New Roman" w:hAnsi="Times New Roman"/>
          <w:sz w:val="24"/>
          <w:szCs w:val="24"/>
        </w:rPr>
      </w:pPr>
    </w:p>
    <w:p w:rsidR="00714914" w:rsidRDefault="00714914"/>
    <w:sectPr w:rsidR="00714914" w:rsidSect="00666533">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663927"/>
      <w:docPartObj>
        <w:docPartGallery w:val="Page Numbers (Bottom of Page)"/>
        <w:docPartUnique/>
      </w:docPartObj>
    </w:sdtPr>
    <w:sdtEndPr>
      <w:rPr>
        <w:noProof/>
      </w:rPr>
    </w:sdtEndPr>
    <w:sdtContent>
      <w:p w:rsidR="00A4734C" w:rsidRDefault="002823C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4734C" w:rsidRDefault="002823C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0C08"/>
    <w:multiLevelType w:val="hybridMultilevel"/>
    <w:tmpl w:val="F274DABE"/>
    <w:lvl w:ilvl="0" w:tplc="92ECD186">
      <w:start w:val="17"/>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67565"/>
    <w:multiLevelType w:val="hybridMultilevel"/>
    <w:tmpl w:val="E4AAF370"/>
    <w:lvl w:ilvl="0" w:tplc="E54AFF92">
      <w:start w:val="18"/>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609"/>
    <w:multiLevelType w:val="hybridMultilevel"/>
    <w:tmpl w:val="F274DABE"/>
    <w:lvl w:ilvl="0" w:tplc="92ECD186">
      <w:start w:val="17"/>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D7147"/>
    <w:multiLevelType w:val="hybridMultilevel"/>
    <w:tmpl w:val="741E41BE"/>
    <w:lvl w:ilvl="0" w:tplc="DD860AA2">
      <w:start w:val="17"/>
      <w:numFmt w:val="decimal"/>
      <w:lvlText w:val="%1."/>
      <w:lvlJc w:val="left"/>
      <w:pPr>
        <w:ind w:left="1080" w:hanging="360"/>
      </w:pPr>
      <w:rPr>
        <w:rFonts w:hint="default"/>
        <w:b w:val="0"/>
        <w:i w:val="0"/>
        <w:color w:val="auto"/>
      </w:rPr>
    </w:lvl>
    <w:lvl w:ilvl="1" w:tplc="04090019">
      <w:start w:val="1"/>
      <w:numFmt w:val="lowerLetter"/>
      <w:lvlText w:val="%2."/>
      <w:lvlJc w:val="left"/>
      <w:pPr>
        <w:ind w:left="1710" w:hanging="360"/>
      </w:pPr>
    </w:lvl>
    <w:lvl w:ilvl="2" w:tplc="49B6187E">
      <w:start w:val="1"/>
      <w:numFmt w:val="lowerRoman"/>
      <w:lvlText w:val="%3."/>
      <w:lvlJc w:val="right"/>
      <w:pPr>
        <w:ind w:left="2430" w:hanging="180"/>
      </w:pPr>
      <w:rPr>
        <w:i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D2E4E06"/>
    <w:multiLevelType w:val="hybridMultilevel"/>
    <w:tmpl w:val="1966B18E"/>
    <w:lvl w:ilvl="0" w:tplc="79B6C702">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7DF07B7"/>
    <w:multiLevelType w:val="hybridMultilevel"/>
    <w:tmpl w:val="741E41BE"/>
    <w:lvl w:ilvl="0" w:tplc="DD860AA2">
      <w:start w:val="17"/>
      <w:numFmt w:val="decimal"/>
      <w:lvlText w:val="%1."/>
      <w:lvlJc w:val="left"/>
      <w:pPr>
        <w:ind w:left="1080" w:hanging="360"/>
      </w:pPr>
      <w:rPr>
        <w:rFonts w:hint="default"/>
        <w:b w:val="0"/>
        <w:i w:val="0"/>
        <w:color w:val="auto"/>
      </w:rPr>
    </w:lvl>
    <w:lvl w:ilvl="1" w:tplc="04090019">
      <w:start w:val="1"/>
      <w:numFmt w:val="lowerLetter"/>
      <w:lvlText w:val="%2."/>
      <w:lvlJc w:val="left"/>
      <w:pPr>
        <w:ind w:left="1710" w:hanging="360"/>
      </w:pPr>
    </w:lvl>
    <w:lvl w:ilvl="2" w:tplc="49B6187E">
      <w:start w:val="1"/>
      <w:numFmt w:val="lowerRoman"/>
      <w:lvlText w:val="%3."/>
      <w:lvlJc w:val="right"/>
      <w:pPr>
        <w:ind w:left="2430" w:hanging="180"/>
      </w:pPr>
      <w:rPr>
        <w:i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AAB59BD"/>
    <w:multiLevelType w:val="hybridMultilevel"/>
    <w:tmpl w:val="ADC25C76"/>
    <w:lvl w:ilvl="0" w:tplc="26B8E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A1DAB"/>
    <w:multiLevelType w:val="hybridMultilevel"/>
    <w:tmpl w:val="F274DABE"/>
    <w:lvl w:ilvl="0" w:tplc="92ECD186">
      <w:start w:val="17"/>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D07E0"/>
    <w:multiLevelType w:val="hybridMultilevel"/>
    <w:tmpl w:val="CA9EB09E"/>
    <w:lvl w:ilvl="0" w:tplc="0A3AD6A4">
      <w:start w:val="17"/>
      <w:numFmt w:val="decimal"/>
      <w:lvlText w:val="%1."/>
      <w:lvlJc w:val="left"/>
      <w:pPr>
        <w:ind w:left="81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9771E"/>
    <w:multiLevelType w:val="hybridMultilevel"/>
    <w:tmpl w:val="FA7AE590"/>
    <w:lvl w:ilvl="0" w:tplc="2EEA46C4">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15514B"/>
    <w:multiLevelType w:val="hybridMultilevel"/>
    <w:tmpl w:val="3A7AB01A"/>
    <w:lvl w:ilvl="0" w:tplc="DD860AA2">
      <w:start w:val="17"/>
      <w:numFmt w:val="decimal"/>
      <w:lvlText w:val="%1."/>
      <w:lvlJc w:val="left"/>
      <w:pPr>
        <w:ind w:left="1080" w:hanging="360"/>
      </w:pPr>
      <w:rPr>
        <w:rFonts w:hint="default"/>
        <w:b w:val="0"/>
        <w:i w:val="0"/>
        <w:color w:val="auto"/>
      </w:rPr>
    </w:lvl>
    <w:lvl w:ilvl="1" w:tplc="04090019">
      <w:start w:val="1"/>
      <w:numFmt w:val="lowerLetter"/>
      <w:lvlText w:val="%2."/>
      <w:lvlJc w:val="left"/>
      <w:pPr>
        <w:ind w:left="1710" w:hanging="360"/>
      </w:pPr>
    </w:lvl>
    <w:lvl w:ilvl="2" w:tplc="49B6187E">
      <w:start w:val="1"/>
      <w:numFmt w:val="lowerRoman"/>
      <w:lvlText w:val="%3."/>
      <w:lvlJc w:val="right"/>
      <w:pPr>
        <w:ind w:left="2430" w:hanging="180"/>
      </w:pPr>
      <w:rPr>
        <w:i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0F61094"/>
    <w:multiLevelType w:val="hybridMultilevel"/>
    <w:tmpl w:val="5712DEC2"/>
    <w:lvl w:ilvl="0" w:tplc="E54AFF92">
      <w:start w:val="18"/>
      <w:numFmt w:val="decimal"/>
      <w:lvlText w:val="%1."/>
      <w:lvlJc w:val="left"/>
      <w:pPr>
        <w:ind w:left="3240" w:hanging="360"/>
      </w:pPr>
      <w:rPr>
        <w:rFonts w:hint="default"/>
        <w:b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37D7E55"/>
    <w:multiLevelType w:val="hybridMultilevel"/>
    <w:tmpl w:val="9FCC070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4334321"/>
    <w:multiLevelType w:val="hybridMultilevel"/>
    <w:tmpl w:val="49E0A5E8"/>
    <w:lvl w:ilvl="0" w:tplc="52D2DD76">
      <w:start w:val="17"/>
      <w:numFmt w:val="decimal"/>
      <w:lvlText w:val="%1."/>
      <w:lvlJc w:val="left"/>
      <w:pPr>
        <w:ind w:left="1080" w:hanging="360"/>
      </w:pPr>
      <w:rPr>
        <w:rFonts w:ascii="Times New Roman" w:hAnsi="Times New Roman" w:cs="Times New Roman" w:hint="default"/>
        <w:b w:val="0"/>
        <w:i w:val="0"/>
        <w:color w:val="auto"/>
        <w:sz w:val="24"/>
      </w:rPr>
    </w:lvl>
    <w:lvl w:ilvl="1" w:tplc="BA025020">
      <w:start w:val="1"/>
      <w:numFmt w:val="lowerLetter"/>
      <w:lvlText w:val="%2."/>
      <w:lvlJc w:val="left"/>
      <w:pPr>
        <w:ind w:left="1710" w:hanging="360"/>
      </w:pPr>
      <w:rPr>
        <w:b w:val="0"/>
        <w:caps w:val="0"/>
      </w:rPr>
    </w:lvl>
    <w:lvl w:ilvl="2" w:tplc="49B6187E">
      <w:start w:val="1"/>
      <w:numFmt w:val="lowerRoman"/>
      <w:lvlText w:val="%3."/>
      <w:lvlJc w:val="right"/>
      <w:pPr>
        <w:ind w:left="2430" w:hanging="180"/>
      </w:pPr>
      <w:rPr>
        <w:i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7CF44D9"/>
    <w:multiLevelType w:val="hybridMultilevel"/>
    <w:tmpl w:val="F274DABE"/>
    <w:lvl w:ilvl="0" w:tplc="92ECD186">
      <w:start w:val="17"/>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F93373"/>
    <w:multiLevelType w:val="hybridMultilevel"/>
    <w:tmpl w:val="82A22044"/>
    <w:lvl w:ilvl="0" w:tplc="58066086">
      <w:start w:val="1"/>
      <w:numFmt w:val="decimal"/>
      <w:lvlText w:val="VII.%1"/>
      <w:lvlJc w:val="left"/>
      <w:pPr>
        <w:ind w:left="1440" w:hanging="720"/>
      </w:pPr>
      <w:rPr>
        <w:rFonts w:hint="default"/>
        <w:b/>
        <w:i w:val="0"/>
      </w:rPr>
    </w:lvl>
    <w:lvl w:ilvl="1" w:tplc="0409000F">
      <w:start w:val="1"/>
      <w:numFmt w:val="decimal"/>
      <w:lvlText w:val="%2."/>
      <w:lvlJc w:val="left"/>
      <w:pPr>
        <w:ind w:left="1800" w:hanging="360"/>
      </w:pPr>
      <w:rPr>
        <w:rFonts w:hint="default"/>
        <w:b w:val="0"/>
      </w:r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AAB094D6">
      <w:start w:val="39"/>
      <w:numFmt w:val="bullet"/>
      <w:lvlText w:val=""/>
      <w:lvlJc w:val="left"/>
      <w:pPr>
        <w:ind w:left="4860" w:hanging="360"/>
      </w:pPr>
      <w:rPr>
        <w:rFonts w:ascii="Symbol" w:eastAsia="Calibri" w:hAnsi="Symbol" w:cs="Times New Roman" w:hint="default"/>
        <w:b w:val="0"/>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6F4B7D"/>
    <w:multiLevelType w:val="hybridMultilevel"/>
    <w:tmpl w:val="37F65666"/>
    <w:lvl w:ilvl="0" w:tplc="D1E4D6B4">
      <w:start w:val="163"/>
      <w:numFmt w:val="decimal"/>
      <w:lvlText w:val="%1."/>
      <w:lvlJc w:val="left"/>
      <w:pPr>
        <w:ind w:left="987" w:hanging="4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7">
    <w:nsid w:val="438D36D7"/>
    <w:multiLevelType w:val="hybridMultilevel"/>
    <w:tmpl w:val="5F92BA1C"/>
    <w:lvl w:ilvl="0" w:tplc="E0F6E6FA">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5A114B"/>
    <w:multiLevelType w:val="hybridMultilevel"/>
    <w:tmpl w:val="741E41BE"/>
    <w:lvl w:ilvl="0" w:tplc="DD860AA2">
      <w:start w:val="17"/>
      <w:numFmt w:val="decimal"/>
      <w:lvlText w:val="%1."/>
      <w:lvlJc w:val="left"/>
      <w:pPr>
        <w:ind w:left="1080" w:hanging="360"/>
      </w:pPr>
      <w:rPr>
        <w:rFonts w:hint="default"/>
        <w:b w:val="0"/>
        <w:i w:val="0"/>
        <w:color w:val="auto"/>
      </w:rPr>
    </w:lvl>
    <w:lvl w:ilvl="1" w:tplc="04090019">
      <w:start w:val="1"/>
      <w:numFmt w:val="lowerLetter"/>
      <w:lvlText w:val="%2."/>
      <w:lvlJc w:val="left"/>
      <w:pPr>
        <w:ind w:left="1710" w:hanging="360"/>
      </w:pPr>
    </w:lvl>
    <w:lvl w:ilvl="2" w:tplc="49B6187E">
      <w:start w:val="1"/>
      <w:numFmt w:val="lowerRoman"/>
      <w:lvlText w:val="%3."/>
      <w:lvlJc w:val="right"/>
      <w:pPr>
        <w:ind w:left="2430" w:hanging="180"/>
      </w:pPr>
      <w:rPr>
        <w:i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B542A00"/>
    <w:multiLevelType w:val="hybridMultilevel"/>
    <w:tmpl w:val="F274DABE"/>
    <w:lvl w:ilvl="0" w:tplc="92ECD186">
      <w:start w:val="17"/>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24B08"/>
    <w:multiLevelType w:val="hybridMultilevel"/>
    <w:tmpl w:val="559220B4"/>
    <w:lvl w:ilvl="0" w:tplc="DD860AA2">
      <w:start w:val="17"/>
      <w:numFmt w:val="decimal"/>
      <w:lvlText w:val="%1."/>
      <w:lvlJc w:val="left"/>
      <w:pPr>
        <w:ind w:left="108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05619E"/>
    <w:multiLevelType w:val="hybridMultilevel"/>
    <w:tmpl w:val="8B50E0EE"/>
    <w:lvl w:ilvl="0" w:tplc="EA8C9FF4">
      <w:start w:val="1"/>
      <w:numFmt w:val="upperRoman"/>
      <w:lvlText w:val="%1."/>
      <w:lvlJc w:val="left"/>
      <w:pPr>
        <w:ind w:left="1440" w:hanging="720"/>
      </w:pPr>
      <w:rPr>
        <w:rFonts w:hint="default"/>
        <w:b/>
      </w:rPr>
    </w:lvl>
    <w:lvl w:ilvl="1" w:tplc="0409000F">
      <w:start w:val="1"/>
      <w:numFmt w:val="decimal"/>
      <w:lvlText w:val="%2."/>
      <w:lvlJc w:val="left"/>
      <w:pPr>
        <w:ind w:left="1800" w:hanging="360"/>
      </w:pPr>
      <w:rPr>
        <w:rFonts w:hint="default"/>
        <w:b w:val="0"/>
      </w:r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AAB094D6">
      <w:start w:val="39"/>
      <w:numFmt w:val="bullet"/>
      <w:lvlText w:val=""/>
      <w:lvlJc w:val="left"/>
      <w:pPr>
        <w:ind w:left="4860" w:hanging="360"/>
      </w:pPr>
      <w:rPr>
        <w:rFonts w:ascii="Symbol" w:eastAsia="Calibri" w:hAnsi="Symbol" w:cs="Times New Roman" w:hint="default"/>
        <w:b w:val="0"/>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FC0521"/>
    <w:multiLevelType w:val="hybridMultilevel"/>
    <w:tmpl w:val="F274DABE"/>
    <w:lvl w:ilvl="0" w:tplc="92ECD186">
      <w:start w:val="17"/>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43074A"/>
    <w:multiLevelType w:val="hybridMultilevel"/>
    <w:tmpl w:val="741E41BE"/>
    <w:lvl w:ilvl="0" w:tplc="DD860AA2">
      <w:start w:val="17"/>
      <w:numFmt w:val="decimal"/>
      <w:lvlText w:val="%1."/>
      <w:lvlJc w:val="left"/>
      <w:pPr>
        <w:ind w:left="1080" w:hanging="360"/>
      </w:pPr>
      <w:rPr>
        <w:rFonts w:hint="default"/>
        <w:b w:val="0"/>
        <w:i w:val="0"/>
        <w:color w:val="auto"/>
      </w:rPr>
    </w:lvl>
    <w:lvl w:ilvl="1" w:tplc="04090019">
      <w:start w:val="1"/>
      <w:numFmt w:val="lowerLetter"/>
      <w:lvlText w:val="%2."/>
      <w:lvlJc w:val="left"/>
      <w:pPr>
        <w:ind w:left="1710" w:hanging="360"/>
      </w:pPr>
    </w:lvl>
    <w:lvl w:ilvl="2" w:tplc="49B6187E">
      <w:start w:val="1"/>
      <w:numFmt w:val="lowerRoman"/>
      <w:lvlText w:val="%3."/>
      <w:lvlJc w:val="right"/>
      <w:pPr>
        <w:ind w:left="2430" w:hanging="180"/>
      </w:pPr>
      <w:rPr>
        <w:i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7BE5E72"/>
    <w:multiLevelType w:val="hybridMultilevel"/>
    <w:tmpl w:val="1DA24B12"/>
    <w:lvl w:ilvl="0" w:tplc="DD860AA2">
      <w:start w:val="16"/>
      <w:numFmt w:val="decimal"/>
      <w:lvlText w:val="%1."/>
      <w:lvlJc w:val="left"/>
      <w:pPr>
        <w:ind w:left="1080" w:hanging="360"/>
      </w:pPr>
      <w:rPr>
        <w:rFonts w:hint="default"/>
        <w:b w:val="0"/>
        <w:i w:val="0"/>
        <w:color w:val="auto"/>
      </w:rPr>
    </w:lvl>
    <w:lvl w:ilvl="1" w:tplc="D89C6C42">
      <w:start w:val="1"/>
      <w:numFmt w:val="lowerLetter"/>
      <w:lvlText w:val="%2."/>
      <w:lvlJc w:val="left"/>
      <w:pPr>
        <w:ind w:left="1710" w:hanging="360"/>
      </w:pPr>
      <w:rPr>
        <w:b w:val="0"/>
        <w:i w:val="0"/>
        <w:caps w:val="0"/>
      </w:rPr>
    </w:lvl>
    <w:lvl w:ilvl="2" w:tplc="49B6187E">
      <w:start w:val="1"/>
      <w:numFmt w:val="lowerRoman"/>
      <w:lvlText w:val="%3."/>
      <w:lvlJc w:val="right"/>
      <w:pPr>
        <w:ind w:left="2430" w:hanging="180"/>
      </w:pPr>
      <w:rPr>
        <w:i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5D4C7755"/>
    <w:multiLevelType w:val="hybridMultilevel"/>
    <w:tmpl w:val="F274DABE"/>
    <w:lvl w:ilvl="0" w:tplc="92ECD186">
      <w:start w:val="17"/>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024D8F"/>
    <w:multiLevelType w:val="hybridMultilevel"/>
    <w:tmpl w:val="0B0A0042"/>
    <w:lvl w:ilvl="0" w:tplc="60B80F32">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41C59D7"/>
    <w:multiLevelType w:val="hybridMultilevel"/>
    <w:tmpl w:val="2640BC4E"/>
    <w:lvl w:ilvl="0" w:tplc="6BC01A2A">
      <w:start w:val="17"/>
      <w:numFmt w:val="decimal"/>
      <w:lvlText w:val="%1."/>
      <w:lvlJc w:val="left"/>
      <w:pPr>
        <w:ind w:left="1170" w:hanging="360"/>
      </w:pPr>
      <w:rPr>
        <w:rFonts w:hint="default"/>
        <w:b w:val="0"/>
        <w:color w:val="000000" w:themeColor="text1"/>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8">
    <w:nsid w:val="64C76A9D"/>
    <w:multiLevelType w:val="hybridMultilevel"/>
    <w:tmpl w:val="ADA62D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6E22CE7"/>
    <w:multiLevelType w:val="hybridMultilevel"/>
    <w:tmpl w:val="321CB0F8"/>
    <w:lvl w:ilvl="0" w:tplc="9E349A92">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9EB1B5B"/>
    <w:multiLevelType w:val="hybridMultilevel"/>
    <w:tmpl w:val="43CEA532"/>
    <w:lvl w:ilvl="0" w:tplc="E54AFF92">
      <w:start w:val="18"/>
      <w:numFmt w:val="decimal"/>
      <w:lvlText w:val="%1."/>
      <w:lvlJc w:val="left"/>
      <w:pPr>
        <w:ind w:left="3780" w:hanging="360"/>
      </w:pPr>
      <w:rPr>
        <w:rFonts w:hint="default"/>
        <w:b w:val="0"/>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75464549"/>
    <w:multiLevelType w:val="hybridMultilevel"/>
    <w:tmpl w:val="85965FDA"/>
    <w:lvl w:ilvl="0" w:tplc="2E0E4CE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7177DC5"/>
    <w:multiLevelType w:val="hybridMultilevel"/>
    <w:tmpl w:val="8B50E0EE"/>
    <w:lvl w:ilvl="0" w:tplc="EA8C9FF4">
      <w:start w:val="1"/>
      <w:numFmt w:val="upperRoman"/>
      <w:lvlText w:val="%1."/>
      <w:lvlJc w:val="left"/>
      <w:pPr>
        <w:ind w:left="1440" w:hanging="720"/>
      </w:pPr>
      <w:rPr>
        <w:rFonts w:hint="default"/>
        <w:b/>
      </w:rPr>
    </w:lvl>
    <w:lvl w:ilvl="1" w:tplc="0409000F">
      <w:start w:val="1"/>
      <w:numFmt w:val="decimal"/>
      <w:lvlText w:val="%2."/>
      <w:lvlJc w:val="left"/>
      <w:pPr>
        <w:ind w:left="1800" w:hanging="360"/>
      </w:pPr>
      <w:rPr>
        <w:rFonts w:hint="default"/>
        <w:b w:val="0"/>
      </w:r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AAB094D6">
      <w:start w:val="39"/>
      <w:numFmt w:val="bullet"/>
      <w:lvlText w:val=""/>
      <w:lvlJc w:val="left"/>
      <w:pPr>
        <w:ind w:left="4860" w:hanging="360"/>
      </w:pPr>
      <w:rPr>
        <w:rFonts w:ascii="Symbol" w:eastAsia="Calibri" w:hAnsi="Symbol" w:cs="Times New Roman" w:hint="default"/>
        <w:b w:val="0"/>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F54330"/>
    <w:multiLevelType w:val="hybridMultilevel"/>
    <w:tmpl w:val="0FCC4F92"/>
    <w:lvl w:ilvl="0" w:tplc="A252C884">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80F24F4"/>
    <w:multiLevelType w:val="hybridMultilevel"/>
    <w:tmpl w:val="A36E2384"/>
    <w:lvl w:ilvl="0" w:tplc="247AB198">
      <w:start w:val="1"/>
      <w:numFmt w:val="lowerRoman"/>
      <w:lvlText w:val="(%1)"/>
      <w:lvlJc w:val="left"/>
      <w:pPr>
        <w:ind w:left="2520" w:hanging="720"/>
      </w:pPr>
      <w:rPr>
        <w:rFonts w:hint="default"/>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B4151DE"/>
    <w:multiLevelType w:val="hybridMultilevel"/>
    <w:tmpl w:val="779E43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D405B97"/>
    <w:multiLevelType w:val="hybridMultilevel"/>
    <w:tmpl w:val="377286A8"/>
    <w:lvl w:ilvl="0" w:tplc="ABF8D29C">
      <w:start w:val="1"/>
      <w:numFmt w:val="lowerLetter"/>
      <w:lvlText w:val="(%1)"/>
      <w:lvlJc w:val="left"/>
      <w:pPr>
        <w:ind w:left="1800" w:hanging="360"/>
      </w:pPr>
      <w:rPr>
        <w:rFonts w:hint="default"/>
        <w:b w:val="0"/>
        <w:i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32"/>
  </w:num>
  <w:num w:numId="2">
    <w:abstractNumId w:val="26"/>
  </w:num>
  <w:num w:numId="3">
    <w:abstractNumId w:val="9"/>
  </w:num>
  <w:num w:numId="4">
    <w:abstractNumId w:val="24"/>
  </w:num>
  <w:num w:numId="5">
    <w:abstractNumId w:val="1"/>
  </w:num>
  <w:num w:numId="6">
    <w:abstractNumId w:val="11"/>
  </w:num>
  <w:num w:numId="7">
    <w:abstractNumId w:val="30"/>
  </w:num>
  <w:num w:numId="8">
    <w:abstractNumId w:val="4"/>
  </w:num>
  <w:num w:numId="9">
    <w:abstractNumId w:val="19"/>
  </w:num>
  <w:num w:numId="10">
    <w:abstractNumId w:val="0"/>
  </w:num>
  <w:num w:numId="11">
    <w:abstractNumId w:val="7"/>
  </w:num>
  <w:num w:numId="12">
    <w:abstractNumId w:val="29"/>
  </w:num>
  <w:num w:numId="13">
    <w:abstractNumId w:val="31"/>
  </w:num>
  <w:num w:numId="14">
    <w:abstractNumId w:val="27"/>
  </w:num>
  <w:num w:numId="15">
    <w:abstractNumId w:val="6"/>
  </w:num>
  <w:num w:numId="16">
    <w:abstractNumId w:val="22"/>
  </w:num>
  <w:num w:numId="17">
    <w:abstractNumId w:val="34"/>
  </w:num>
  <w:num w:numId="18">
    <w:abstractNumId w:val="2"/>
  </w:num>
  <w:num w:numId="19">
    <w:abstractNumId w:val="17"/>
  </w:num>
  <w:num w:numId="20">
    <w:abstractNumId w:val="15"/>
  </w:num>
  <w:num w:numId="21">
    <w:abstractNumId w:val="14"/>
  </w:num>
  <w:num w:numId="22">
    <w:abstractNumId w:val="25"/>
  </w:num>
  <w:num w:numId="23">
    <w:abstractNumId w:val="33"/>
  </w:num>
  <w:num w:numId="24">
    <w:abstractNumId w:val="8"/>
  </w:num>
  <w:num w:numId="25">
    <w:abstractNumId w:val="10"/>
  </w:num>
  <w:num w:numId="26">
    <w:abstractNumId w:val="20"/>
  </w:num>
  <w:num w:numId="27">
    <w:abstractNumId w:val="5"/>
  </w:num>
  <w:num w:numId="28">
    <w:abstractNumId w:val="36"/>
  </w:num>
  <w:num w:numId="29">
    <w:abstractNumId w:val="3"/>
  </w:num>
  <w:num w:numId="30">
    <w:abstractNumId w:val="18"/>
  </w:num>
  <w:num w:numId="31">
    <w:abstractNumId w:val="23"/>
  </w:num>
  <w:num w:numId="32">
    <w:abstractNumId w:val="13"/>
  </w:num>
  <w:num w:numId="33">
    <w:abstractNumId w:val="28"/>
  </w:num>
  <w:num w:numId="34">
    <w:abstractNumId w:val="16"/>
  </w:num>
  <w:num w:numId="35">
    <w:abstractNumId w:val="21"/>
  </w:num>
  <w:num w:numId="36">
    <w:abstractNumId w:val="1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3CB"/>
    <w:rsid w:val="002823CB"/>
    <w:rsid w:val="007149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3C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3CB"/>
    <w:pPr>
      <w:ind w:left="720"/>
      <w:contextualSpacing/>
    </w:pPr>
  </w:style>
  <w:style w:type="character" w:styleId="HTMLTypewriter">
    <w:name w:val="HTML Typewriter"/>
    <w:rsid w:val="002823CB"/>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2823CB"/>
    <w:rPr>
      <w:sz w:val="16"/>
      <w:szCs w:val="16"/>
    </w:rPr>
  </w:style>
  <w:style w:type="paragraph" w:styleId="CommentText">
    <w:name w:val="annotation text"/>
    <w:basedOn w:val="Normal"/>
    <w:link w:val="CommentTextChar"/>
    <w:uiPriority w:val="99"/>
    <w:semiHidden/>
    <w:unhideWhenUsed/>
    <w:rsid w:val="002823CB"/>
    <w:pPr>
      <w:spacing w:line="240" w:lineRule="auto"/>
    </w:pPr>
    <w:rPr>
      <w:sz w:val="20"/>
      <w:szCs w:val="20"/>
    </w:rPr>
  </w:style>
  <w:style w:type="character" w:customStyle="1" w:styleId="CommentTextChar">
    <w:name w:val="Comment Text Char"/>
    <w:basedOn w:val="DefaultParagraphFont"/>
    <w:link w:val="CommentText"/>
    <w:uiPriority w:val="99"/>
    <w:semiHidden/>
    <w:rsid w:val="002823CB"/>
    <w:rPr>
      <w:rFonts w:ascii="Calibri" w:eastAsia="Calibri" w:hAnsi="Calibri" w:cs="Times New Roman"/>
      <w:sz w:val="20"/>
      <w:szCs w:val="20"/>
      <w:lang w:val="en-GB"/>
    </w:rPr>
  </w:style>
  <w:style w:type="character" w:customStyle="1" w:styleId="CommentSubjectChar">
    <w:name w:val="Comment Subject Char"/>
    <w:basedOn w:val="CommentTextChar"/>
    <w:link w:val="CommentSubject"/>
    <w:uiPriority w:val="99"/>
    <w:semiHidden/>
    <w:rsid w:val="002823CB"/>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2823CB"/>
    <w:rPr>
      <w:b/>
      <w:bCs/>
    </w:rPr>
  </w:style>
  <w:style w:type="character" w:customStyle="1" w:styleId="CommentSubjectChar1">
    <w:name w:val="Comment Subject Char1"/>
    <w:basedOn w:val="CommentTextChar"/>
    <w:uiPriority w:val="99"/>
    <w:semiHidden/>
    <w:rsid w:val="002823CB"/>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282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3CB"/>
    <w:rPr>
      <w:rFonts w:ascii="Tahoma" w:eastAsia="Calibri" w:hAnsi="Tahoma" w:cs="Tahoma"/>
      <w:sz w:val="16"/>
      <w:szCs w:val="16"/>
      <w:lang w:val="en-GB"/>
    </w:rPr>
  </w:style>
  <w:style w:type="character" w:customStyle="1" w:styleId="txtnormal1">
    <w:name w:val="txtnormal1"/>
    <w:rsid w:val="002823CB"/>
    <w:rPr>
      <w:rFonts w:ascii="Arial" w:hAnsi="Arial" w:cs="Arial" w:hint="default"/>
      <w:sz w:val="18"/>
      <w:szCs w:val="18"/>
    </w:rPr>
  </w:style>
  <w:style w:type="paragraph" w:styleId="Header">
    <w:name w:val="header"/>
    <w:basedOn w:val="Normal"/>
    <w:link w:val="HeaderChar"/>
    <w:uiPriority w:val="99"/>
    <w:unhideWhenUsed/>
    <w:rsid w:val="00282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CB"/>
    <w:rPr>
      <w:rFonts w:ascii="Calibri" w:eastAsia="Calibri" w:hAnsi="Calibri" w:cs="Times New Roman"/>
      <w:lang w:val="en-GB"/>
    </w:rPr>
  </w:style>
  <w:style w:type="paragraph" w:styleId="Footer">
    <w:name w:val="footer"/>
    <w:basedOn w:val="Normal"/>
    <w:link w:val="FooterChar"/>
    <w:uiPriority w:val="99"/>
    <w:unhideWhenUsed/>
    <w:rsid w:val="00282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CB"/>
    <w:rPr>
      <w:rFonts w:ascii="Calibri" w:eastAsia="Calibri" w:hAnsi="Calibri" w:cs="Times New Roman"/>
      <w:lang w:val="en-GB"/>
    </w:rPr>
  </w:style>
  <w:style w:type="paragraph" w:styleId="BodyText">
    <w:name w:val="Body Text"/>
    <w:basedOn w:val="Normal"/>
    <w:link w:val="BodyTextChar"/>
    <w:uiPriority w:val="99"/>
    <w:semiHidden/>
    <w:unhideWhenUsed/>
    <w:rsid w:val="002823CB"/>
    <w:pPr>
      <w:spacing w:after="120"/>
    </w:pPr>
  </w:style>
  <w:style w:type="character" w:customStyle="1" w:styleId="BodyTextChar">
    <w:name w:val="Body Text Char"/>
    <w:basedOn w:val="DefaultParagraphFont"/>
    <w:link w:val="BodyText"/>
    <w:uiPriority w:val="99"/>
    <w:semiHidden/>
    <w:rsid w:val="002823CB"/>
    <w:rPr>
      <w:rFonts w:ascii="Calibri" w:eastAsia="Calibri" w:hAnsi="Calibri" w:cs="Times New Roman"/>
      <w:lang w:val="en-GB"/>
    </w:rPr>
  </w:style>
  <w:style w:type="character" w:customStyle="1" w:styleId="gus-term-link">
    <w:name w:val="gus-term-link"/>
    <w:basedOn w:val="DefaultParagraphFont"/>
    <w:rsid w:val="002823CB"/>
  </w:style>
  <w:style w:type="table" w:styleId="TableGrid">
    <w:name w:val="Table Grid"/>
    <w:basedOn w:val="TableNormal"/>
    <w:uiPriority w:val="59"/>
    <w:rsid w:val="002823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3C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3CB"/>
    <w:pPr>
      <w:ind w:left="720"/>
      <w:contextualSpacing/>
    </w:pPr>
  </w:style>
  <w:style w:type="character" w:styleId="HTMLTypewriter">
    <w:name w:val="HTML Typewriter"/>
    <w:rsid w:val="002823CB"/>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2823CB"/>
    <w:rPr>
      <w:sz w:val="16"/>
      <w:szCs w:val="16"/>
    </w:rPr>
  </w:style>
  <w:style w:type="paragraph" w:styleId="CommentText">
    <w:name w:val="annotation text"/>
    <w:basedOn w:val="Normal"/>
    <w:link w:val="CommentTextChar"/>
    <w:uiPriority w:val="99"/>
    <w:semiHidden/>
    <w:unhideWhenUsed/>
    <w:rsid w:val="002823CB"/>
    <w:pPr>
      <w:spacing w:line="240" w:lineRule="auto"/>
    </w:pPr>
    <w:rPr>
      <w:sz w:val="20"/>
      <w:szCs w:val="20"/>
    </w:rPr>
  </w:style>
  <w:style w:type="character" w:customStyle="1" w:styleId="CommentTextChar">
    <w:name w:val="Comment Text Char"/>
    <w:basedOn w:val="DefaultParagraphFont"/>
    <w:link w:val="CommentText"/>
    <w:uiPriority w:val="99"/>
    <w:semiHidden/>
    <w:rsid w:val="002823CB"/>
    <w:rPr>
      <w:rFonts w:ascii="Calibri" w:eastAsia="Calibri" w:hAnsi="Calibri" w:cs="Times New Roman"/>
      <w:sz w:val="20"/>
      <w:szCs w:val="20"/>
      <w:lang w:val="en-GB"/>
    </w:rPr>
  </w:style>
  <w:style w:type="character" w:customStyle="1" w:styleId="CommentSubjectChar">
    <w:name w:val="Comment Subject Char"/>
    <w:basedOn w:val="CommentTextChar"/>
    <w:link w:val="CommentSubject"/>
    <w:uiPriority w:val="99"/>
    <w:semiHidden/>
    <w:rsid w:val="002823CB"/>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2823CB"/>
    <w:rPr>
      <w:b/>
      <w:bCs/>
    </w:rPr>
  </w:style>
  <w:style w:type="character" w:customStyle="1" w:styleId="CommentSubjectChar1">
    <w:name w:val="Comment Subject Char1"/>
    <w:basedOn w:val="CommentTextChar"/>
    <w:uiPriority w:val="99"/>
    <w:semiHidden/>
    <w:rsid w:val="002823CB"/>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282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3CB"/>
    <w:rPr>
      <w:rFonts w:ascii="Tahoma" w:eastAsia="Calibri" w:hAnsi="Tahoma" w:cs="Tahoma"/>
      <w:sz w:val="16"/>
      <w:szCs w:val="16"/>
      <w:lang w:val="en-GB"/>
    </w:rPr>
  </w:style>
  <w:style w:type="character" w:customStyle="1" w:styleId="txtnormal1">
    <w:name w:val="txtnormal1"/>
    <w:rsid w:val="002823CB"/>
    <w:rPr>
      <w:rFonts w:ascii="Arial" w:hAnsi="Arial" w:cs="Arial" w:hint="default"/>
      <w:sz w:val="18"/>
      <w:szCs w:val="18"/>
    </w:rPr>
  </w:style>
  <w:style w:type="paragraph" w:styleId="Header">
    <w:name w:val="header"/>
    <w:basedOn w:val="Normal"/>
    <w:link w:val="HeaderChar"/>
    <w:uiPriority w:val="99"/>
    <w:unhideWhenUsed/>
    <w:rsid w:val="00282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CB"/>
    <w:rPr>
      <w:rFonts w:ascii="Calibri" w:eastAsia="Calibri" w:hAnsi="Calibri" w:cs="Times New Roman"/>
      <w:lang w:val="en-GB"/>
    </w:rPr>
  </w:style>
  <w:style w:type="paragraph" w:styleId="Footer">
    <w:name w:val="footer"/>
    <w:basedOn w:val="Normal"/>
    <w:link w:val="FooterChar"/>
    <w:uiPriority w:val="99"/>
    <w:unhideWhenUsed/>
    <w:rsid w:val="00282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CB"/>
    <w:rPr>
      <w:rFonts w:ascii="Calibri" w:eastAsia="Calibri" w:hAnsi="Calibri" w:cs="Times New Roman"/>
      <w:lang w:val="en-GB"/>
    </w:rPr>
  </w:style>
  <w:style w:type="paragraph" w:styleId="BodyText">
    <w:name w:val="Body Text"/>
    <w:basedOn w:val="Normal"/>
    <w:link w:val="BodyTextChar"/>
    <w:uiPriority w:val="99"/>
    <w:semiHidden/>
    <w:unhideWhenUsed/>
    <w:rsid w:val="002823CB"/>
    <w:pPr>
      <w:spacing w:after="120"/>
    </w:pPr>
  </w:style>
  <w:style w:type="character" w:customStyle="1" w:styleId="BodyTextChar">
    <w:name w:val="Body Text Char"/>
    <w:basedOn w:val="DefaultParagraphFont"/>
    <w:link w:val="BodyText"/>
    <w:uiPriority w:val="99"/>
    <w:semiHidden/>
    <w:rsid w:val="002823CB"/>
    <w:rPr>
      <w:rFonts w:ascii="Calibri" w:eastAsia="Calibri" w:hAnsi="Calibri" w:cs="Times New Roman"/>
      <w:lang w:val="en-GB"/>
    </w:rPr>
  </w:style>
  <w:style w:type="character" w:customStyle="1" w:styleId="gus-term-link">
    <w:name w:val="gus-term-link"/>
    <w:basedOn w:val="DefaultParagraphFont"/>
    <w:rsid w:val="002823CB"/>
  </w:style>
  <w:style w:type="table" w:styleId="TableGrid">
    <w:name w:val="Table Grid"/>
    <w:basedOn w:val="TableNormal"/>
    <w:uiPriority w:val="59"/>
    <w:rsid w:val="002823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15641</Words>
  <Characters>89158</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Priyam</dc:creator>
  <cp:lastModifiedBy>Priyam</cp:lastModifiedBy>
  <cp:revision>1</cp:revision>
  <dcterms:created xsi:type="dcterms:W3CDTF">2019-12-05T07:01:00Z</dcterms:created>
  <dcterms:modified xsi:type="dcterms:W3CDTF">2019-12-05T07:03:00Z</dcterms:modified>
</cp:coreProperties>
</file>